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AE49C" w14:textId="53E5E8B5" w:rsidR="002D3C31" w:rsidRPr="00950288" w:rsidRDefault="005327F8" w:rsidP="00CE6F64">
      <w:pPr>
        <w:rPr>
          <w:color w:val="FF0000"/>
          <w:sz w:val="32"/>
          <w:szCs w:val="32"/>
        </w:rPr>
      </w:pPr>
      <w:r>
        <w:rPr>
          <w:rFonts w:eastAsia="Calibri"/>
          <w:b/>
          <w:bCs w:val="0"/>
          <w:color w:val="1074CB"/>
          <w:sz w:val="44"/>
          <w:szCs w:val="44"/>
          <w:lang w:eastAsia="en-GB"/>
        </w:rPr>
        <w:t>SMMT NEW CAR REGISTRATIONS</w:t>
      </w:r>
      <w:r>
        <w:rPr>
          <w:rFonts w:ascii="Segoe UI" w:eastAsia="Calibri" w:hAnsi="Segoe UI" w:cs="Segoe UI"/>
          <w:bCs w:val="0"/>
          <w:sz w:val="18"/>
          <w:szCs w:val="18"/>
          <w:lang w:eastAsia="en-GB"/>
        </w:rPr>
        <w:br/>
      </w:r>
      <w:r w:rsidR="00CE6F64" w:rsidRPr="00E41A69">
        <w:rPr>
          <w:rFonts w:eastAsia="Calibri"/>
          <w:b/>
          <w:bCs w:val="0"/>
          <w:sz w:val="18"/>
          <w:szCs w:val="18"/>
          <w:u w:val="single"/>
          <w:lang w:eastAsia="en-GB"/>
        </w:rPr>
        <w:t>Hi-res charts available via Dropbox:</w:t>
      </w:r>
      <w:r w:rsidR="00146D88" w:rsidRPr="00146D88">
        <w:t xml:space="preserve"> </w:t>
      </w:r>
      <w:hyperlink r:id="rId7" w:history="1">
        <w:r w:rsidR="00146D88" w:rsidRPr="00FE270E">
          <w:rPr>
            <w:rStyle w:val="Hyperlink"/>
            <w:rFonts w:eastAsia="Calibri"/>
            <w:b/>
            <w:bCs w:val="0"/>
            <w:sz w:val="18"/>
            <w:szCs w:val="18"/>
            <w:lang w:eastAsia="en-GB"/>
          </w:rPr>
          <w:t>https://www.dropbox.com/sh/zcai02svdle06xo/AAAEJOmCeJ6UodQSHmbacxeZa?dl=0</w:t>
        </w:r>
      </w:hyperlink>
      <w:r w:rsidR="00146D88">
        <w:rPr>
          <w:rFonts w:eastAsia="Calibri"/>
          <w:b/>
          <w:bCs w:val="0"/>
          <w:sz w:val="18"/>
          <w:szCs w:val="18"/>
          <w:u w:val="single"/>
          <w:lang w:eastAsia="en-GB"/>
        </w:rPr>
        <w:t xml:space="preserve"> </w:t>
      </w:r>
    </w:p>
    <w:p w14:paraId="3EF3C084" w14:textId="55072898" w:rsidR="005327F8" w:rsidRDefault="005327F8" w:rsidP="005327F8">
      <w:pPr>
        <w:spacing w:before="100" w:beforeAutospacing="1" w:after="100" w:afterAutospacing="1" w:line="240" w:lineRule="auto"/>
        <w:rPr>
          <w:rFonts w:ascii="Segoe UI" w:eastAsia="Calibri" w:hAnsi="Segoe UI" w:cs="Segoe UI"/>
          <w:bCs w:val="0"/>
          <w:sz w:val="18"/>
          <w:szCs w:val="18"/>
          <w:lang w:eastAsia="en-GB"/>
        </w:rPr>
      </w:pPr>
      <w:r>
        <w:rPr>
          <w:rFonts w:eastAsia="Calibri"/>
          <w:bCs w:val="0"/>
          <w:color w:val="1074CB"/>
          <w:sz w:val="44"/>
          <w:szCs w:val="44"/>
          <w:lang w:eastAsia="en-GB"/>
        </w:rPr>
        <w:t xml:space="preserve">5 </w:t>
      </w:r>
      <w:r w:rsidR="00136907">
        <w:rPr>
          <w:rFonts w:eastAsia="Calibri"/>
          <w:bCs w:val="0"/>
          <w:color w:val="1074CB"/>
          <w:sz w:val="44"/>
          <w:szCs w:val="44"/>
          <w:lang w:eastAsia="en-GB"/>
        </w:rPr>
        <w:t>January 2023</w:t>
      </w:r>
      <w:r>
        <w:rPr>
          <w:rFonts w:ascii="Segoe UI" w:eastAsia="Calibri" w:hAnsi="Segoe UI" w:cs="Segoe UI"/>
          <w:bCs w:val="0"/>
          <w:sz w:val="18"/>
          <w:szCs w:val="18"/>
          <w:lang w:eastAsia="en-GB"/>
        </w:rPr>
        <w:t xml:space="preserve"> </w:t>
      </w:r>
      <w:r>
        <w:rPr>
          <w:rFonts w:eastAsia="Calibri"/>
          <w:bCs w:val="0"/>
          <w:color w:val="1074CB"/>
          <w:sz w:val="32"/>
          <w:szCs w:val="32"/>
          <w:lang w:eastAsia="en-GB"/>
        </w:rPr>
        <w:t xml:space="preserve">(data for </w:t>
      </w:r>
      <w:r w:rsidR="006C131C">
        <w:rPr>
          <w:rFonts w:eastAsia="Calibri"/>
          <w:bCs w:val="0"/>
          <w:color w:val="1074CB"/>
          <w:sz w:val="32"/>
          <w:szCs w:val="32"/>
          <w:lang w:eastAsia="en-GB"/>
        </w:rPr>
        <w:t xml:space="preserve">Full Year and </w:t>
      </w:r>
      <w:r w:rsidR="00136907">
        <w:rPr>
          <w:rFonts w:eastAsia="Calibri"/>
          <w:bCs w:val="0"/>
          <w:color w:val="1074CB"/>
          <w:sz w:val="32"/>
          <w:szCs w:val="32"/>
          <w:lang w:eastAsia="en-GB"/>
        </w:rPr>
        <w:t>December</w:t>
      </w:r>
      <w:r>
        <w:rPr>
          <w:rFonts w:eastAsia="Calibri"/>
          <w:bCs w:val="0"/>
          <w:color w:val="1074CB"/>
          <w:sz w:val="32"/>
          <w:szCs w:val="32"/>
          <w:lang w:eastAsia="en-GB"/>
        </w:rPr>
        <w:t xml:space="preserve"> 2022)</w:t>
      </w:r>
    </w:p>
    <w:p w14:paraId="740502A6" w14:textId="156DDC74" w:rsidR="0009355E" w:rsidRPr="0009355E" w:rsidRDefault="0009355E" w:rsidP="0009355E">
      <w:pPr>
        <w:spacing w:line="240" w:lineRule="auto"/>
        <w:jc w:val="both"/>
        <w:rPr>
          <w:rFonts w:eastAsia="Times New Roman"/>
          <w:bCs w:val="0"/>
          <w:lang w:eastAsia="en-GB"/>
        </w:rPr>
      </w:pPr>
      <w:bookmarkStart w:id="0" w:name="_Hlk122334045"/>
      <w:r w:rsidRPr="0009355E">
        <w:rPr>
          <w:rFonts w:eastAsia="Calibri"/>
          <w:b/>
          <w:bCs w:val="0"/>
          <w:color w:val="1074CB"/>
          <w:sz w:val="32"/>
          <w:szCs w:val="32"/>
        </w:rPr>
        <w:t xml:space="preserve">Chip crisis subdues new car market </w:t>
      </w:r>
      <w:r w:rsidR="00C455E5">
        <w:rPr>
          <w:rFonts w:eastAsia="Calibri"/>
          <w:b/>
          <w:bCs w:val="0"/>
          <w:color w:val="1074CB"/>
          <w:sz w:val="32"/>
          <w:szCs w:val="32"/>
        </w:rPr>
        <w:t xml:space="preserve">but EVs </w:t>
      </w:r>
      <w:r w:rsidR="00063D30">
        <w:rPr>
          <w:rFonts w:eastAsia="Calibri"/>
          <w:b/>
          <w:bCs w:val="0"/>
          <w:color w:val="1074CB"/>
          <w:sz w:val="32"/>
          <w:szCs w:val="32"/>
        </w:rPr>
        <w:t>now second only to petrol</w:t>
      </w:r>
    </w:p>
    <w:p w14:paraId="3D47D0B3" w14:textId="46F1FDE5" w:rsidR="0009355E" w:rsidRPr="0009355E" w:rsidRDefault="0009355E" w:rsidP="00681608">
      <w:pPr>
        <w:pStyle w:val="ListParagraph"/>
        <w:numPr>
          <w:ilvl w:val="0"/>
          <w:numId w:val="4"/>
        </w:numPr>
        <w:shd w:val="clear" w:color="auto" w:fill="FFFFFF" w:themeFill="background1"/>
        <w:jc w:val="both"/>
        <w:rPr>
          <w:rFonts w:eastAsia="Times New Roman"/>
          <w:bCs w:val="0"/>
          <w:lang w:eastAsia="en-GB"/>
        </w:rPr>
      </w:pPr>
      <w:r w:rsidRPr="0009355E">
        <w:rPr>
          <w:rFonts w:eastAsia="Times New Roman"/>
          <w:bCs w:val="0"/>
          <w:lang w:eastAsia="en-GB"/>
        </w:rPr>
        <w:t xml:space="preserve">Supply chain shortages subdue new car market to </w:t>
      </w:r>
      <w:r w:rsidRPr="00681608">
        <w:rPr>
          <w:rFonts w:eastAsia="Times New Roman"/>
          <w:bCs w:val="0"/>
          <w:shd w:val="clear" w:color="auto" w:fill="FFFFFF" w:themeFill="background1"/>
          <w:lang w:eastAsia="en-GB"/>
        </w:rPr>
        <w:t>1.61m units in 2022 – a -</w:t>
      </w:r>
      <w:r w:rsidR="009256D8" w:rsidRPr="00681608">
        <w:rPr>
          <w:rFonts w:eastAsia="Times New Roman"/>
          <w:bCs w:val="0"/>
          <w:shd w:val="clear" w:color="auto" w:fill="FFFFFF" w:themeFill="background1"/>
          <w:lang w:eastAsia="en-GB"/>
        </w:rPr>
        <w:t>2</w:t>
      </w:r>
      <w:r w:rsidRPr="00681608">
        <w:rPr>
          <w:rFonts w:eastAsia="Times New Roman"/>
          <w:bCs w:val="0"/>
          <w:shd w:val="clear" w:color="auto" w:fill="FFFFFF" w:themeFill="background1"/>
          <w:lang w:eastAsia="en-GB"/>
        </w:rPr>
        <w:t>.0%</w:t>
      </w:r>
      <w:r w:rsidRPr="0009355E">
        <w:rPr>
          <w:rFonts w:eastAsia="Times New Roman"/>
          <w:bCs w:val="0"/>
          <w:lang w:eastAsia="en-GB"/>
        </w:rPr>
        <w:t xml:space="preserve"> fall on pandemic-afflicted 2021 – but UK</w:t>
      </w:r>
      <w:r w:rsidR="007C53D3">
        <w:rPr>
          <w:rFonts w:eastAsia="Times New Roman"/>
          <w:bCs w:val="0"/>
          <w:lang w:eastAsia="en-GB"/>
        </w:rPr>
        <w:t xml:space="preserve"> </w:t>
      </w:r>
      <w:r w:rsidRPr="0009355E">
        <w:rPr>
          <w:rFonts w:eastAsia="Times New Roman"/>
          <w:bCs w:val="0"/>
          <w:lang w:eastAsia="en-GB"/>
        </w:rPr>
        <w:t>reclaim</w:t>
      </w:r>
      <w:r w:rsidR="00063D30">
        <w:rPr>
          <w:rFonts w:eastAsia="Times New Roman"/>
          <w:bCs w:val="0"/>
          <w:lang w:eastAsia="en-GB"/>
        </w:rPr>
        <w:t>s</w:t>
      </w:r>
      <w:r w:rsidRPr="0009355E">
        <w:rPr>
          <w:rFonts w:eastAsia="Times New Roman"/>
          <w:bCs w:val="0"/>
          <w:lang w:eastAsia="en-GB"/>
        </w:rPr>
        <w:t xml:space="preserve"> position as Europe’s second biggest market.</w:t>
      </w:r>
    </w:p>
    <w:p w14:paraId="7446DF5E" w14:textId="77777777" w:rsidR="00681608" w:rsidRDefault="00730DEF" w:rsidP="00681608">
      <w:pPr>
        <w:pStyle w:val="ListParagraph"/>
        <w:numPr>
          <w:ilvl w:val="0"/>
          <w:numId w:val="4"/>
        </w:numPr>
        <w:shd w:val="clear" w:color="auto" w:fill="FFFFFF" w:themeFill="background1"/>
        <w:jc w:val="both"/>
        <w:rPr>
          <w:rFonts w:eastAsia="Times New Roman"/>
          <w:bCs w:val="0"/>
          <w:lang w:eastAsia="en-GB"/>
        </w:rPr>
      </w:pPr>
      <w:r>
        <w:rPr>
          <w:rFonts w:eastAsia="Times New Roman"/>
          <w:bCs w:val="0"/>
          <w:lang w:eastAsia="en-GB"/>
        </w:rPr>
        <w:t xml:space="preserve">Battery electric vehicles secure best ever monthly market share and </w:t>
      </w:r>
      <w:r w:rsidR="00D4683F">
        <w:rPr>
          <w:rFonts w:eastAsia="Times New Roman"/>
          <w:bCs w:val="0"/>
          <w:lang w:eastAsia="en-GB"/>
        </w:rPr>
        <w:t xml:space="preserve">become </w:t>
      </w:r>
      <w:r w:rsidR="0009355E" w:rsidRPr="00D4683F">
        <w:rPr>
          <w:rFonts w:eastAsia="Times New Roman"/>
          <w:bCs w:val="0"/>
          <w:lang w:eastAsia="en-GB"/>
        </w:rPr>
        <w:t>Britain’s second most popular powertrain</w:t>
      </w:r>
      <w:r w:rsidRPr="00D4683F">
        <w:rPr>
          <w:rFonts w:eastAsia="Times New Roman"/>
          <w:bCs w:val="0"/>
          <w:lang w:eastAsia="en-GB"/>
        </w:rPr>
        <w:t xml:space="preserve"> </w:t>
      </w:r>
      <w:r w:rsidR="00D4683F">
        <w:rPr>
          <w:rFonts w:eastAsia="Times New Roman"/>
          <w:bCs w:val="0"/>
          <w:lang w:eastAsia="en-GB"/>
        </w:rPr>
        <w:t xml:space="preserve">for the year. </w:t>
      </w:r>
    </w:p>
    <w:p w14:paraId="0C9396BC" w14:textId="3D36A438" w:rsidR="0009355E" w:rsidRPr="00681608" w:rsidRDefault="0009355E" w:rsidP="00681608">
      <w:pPr>
        <w:pStyle w:val="ListParagraph"/>
        <w:numPr>
          <w:ilvl w:val="0"/>
          <w:numId w:val="4"/>
        </w:numPr>
        <w:shd w:val="clear" w:color="auto" w:fill="FFFFFF" w:themeFill="background1"/>
        <w:jc w:val="both"/>
        <w:rPr>
          <w:rFonts w:eastAsia="Times New Roman"/>
          <w:bCs w:val="0"/>
          <w:lang w:eastAsia="en-GB"/>
        </w:rPr>
      </w:pPr>
      <w:r w:rsidRPr="00681608">
        <w:rPr>
          <w:rFonts w:eastAsia="Times New Roman"/>
          <w:bCs w:val="0"/>
          <w:lang w:eastAsia="en-GB"/>
        </w:rPr>
        <w:t>Rising registrations see market</w:t>
      </w:r>
      <w:r w:rsidR="002F0505" w:rsidRPr="00681608">
        <w:rPr>
          <w:rFonts w:eastAsia="Times New Roman"/>
          <w:bCs w:val="0"/>
          <w:lang w:eastAsia="en-GB"/>
        </w:rPr>
        <w:t xml:space="preserve"> improvement</w:t>
      </w:r>
      <w:r w:rsidRPr="00681608">
        <w:rPr>
          <w:rFonts w:eastAsia="Times New Roman"/>
          <w:bCs w:val="0"/>
          <w:lang w:eastAsia="en-GB"/>
        </w:rPr>
        <w:t xml:space="preserve"> </w:t>
      </w:r>
      <w:r w:rsidR="00B55178" w:rsidRPr="00681608">
        <w:rPr>
          <w:rFonts w:eastAsia="Times New Roman"/>
          <w:bCs w:val="0"/>
          <w:lang w:eastAsia="en-GB"/>
        </w:rPr>
        <w:t>in last five months</w:t>
      </w:r>
      <w:r w:rsidRPr="00681608">
        <w:rPr>
          <w:rFonts w:eastAsia="Times New Roman"/>
          <w:bCs w:val="0"/>
          <w:lang w:eastAsia="en-GB"/>
        </w:rPr>
        <w:t xml:space="preserve"> </w:t>
      </w:r>
      <w:r w:rsidR="00491283" w:rsidRPr="00681608">
        <w:rPr>
          <w:rFonts w:eastAsia="Times New Roman"/>
          <w:bCs w:val="0"/>
          <w:lang w:eastAsia="en-GB"/>
        </w:rPr>
        <w:t>with sector poised to deliver</w:t>
      </w:r>
      <w:r w:rsidR="00B55178" w:rsidRPr="00681608">
        <w:rPr>
          <w:rFonts w:eastAsia="Times New Roman"/>
          <w:bCs w:val="0"/>
          <w:lang w:eastAsia="en-GB"/>
        </w:rPr>
        <w:t xml:space="preserve"> growth</w:t>
      </w:r>
      <w:r w:rsidR="00491283" w:rsidRPr="00681608">
        <w:rPr>
          <w:rFonts w:eastAsia="Times New Roman"/>
          <w:bCs w:val="0"/>
          <w:lang w:eastAsia="en-GB"/>
        </w:rPr>
        <w:t xml:space="preserve"> </w:t>
      </w:r>
      <w:r w:rsidR="00B55178" w:rsidRPr="00681608">
        <w:rPr>
          <w:rFonts w:eastAsia="Times New Roman"/>
          <w:bCs w:val="0"/>
          <w:lang w:eastAsia="en-GB"/>
        </w:rPr>
        <w:t xml:space="preserve">worth </w:t>
      </w:r>
      <w:r w:rsidRPr="00681608">
        <w:rPr>
          <w:rFonts w:eastAsia="Times New Roman"/>
          <w:bCs w:val="0"/>
          <w:lang w:eastAsia="en-GB"/>
        </w:rPr>
        <w:t>£</w:t>
      </w:r>
      <w:r w:rsidR="00491283" w:rsidRPr="00681608">
        <w:rPr>
          <w:rFonts w:eastAsia="Times New Roman"/>
          <w:bCs w:val="0"/>
          <w:lang w:eastAsia="en-GB"/>
        </w:rPr>
        <w:t>8.4</w:t>
      </w:r>
      <w:r w:rsidR="00B55178" w:rsidRPr="00681608">
        <w:rPr>
          <w:rFonts w:eastAsia="Times New Roman"/>
          <w:bCs w:val="0"/>
          <w:lang w:eastAsia="en-GB"/>
        </w:rPr>
        <w:t>bn</w:t>
      </w:r>
      <w:r w:rsidRPr="00681608">
        <w:rPr>
          <w:rFonts w:eastAsia="Times New Roman"/>
          <w:bCs w:val="0"/>
          <w:lang w:eastAsia="en-GB"/>
        </w:rPr>
        <w:t xml:space="preserve"> during 2023.</w:t>
      </w:r>
    </w:p>
    <w:p w14:paraId="774CB5A5" w14:textId="69C30CC5" w:rsidR="005A2FB2" w:rsidRDefault="0009355E" w:rsidP="00681608">
      <w:pPr>
        <w:pStyle w:val="xmsonormal"/>
        <w:shd w:val="clear" w:color="auto" w:fill="FFFFFF" w:themeFill="background1"/>
        <w:jc w:val="both"/>
        <w:rPr>
          <w:rFonts w:ascii="Arial" w:hAnsi="Arial" w:cs="Arial"/>
          <w:sz w:val="20"/>
          <w:szCs w:val="20"/>
        </w:rPr>
      </w:pPr>
      <w:r w:rsidRPr="0009355E">
        <w:rPr>
          <w:rFonts w:ascii="Arial" w:hAnsi="Arial" w:cs="Arial"/>
          <w:b/>
          <w:bCs/>
          <w:sz w:val="20"/>
          <w:szCs w:val="20"/>
        </w:rPr>
        <w:t>Thursday 5 January, 202</w:t>
      </w:r>
      <w:r w:rsidR="004F61BB">
        <w:rPr>
          <w:rFonts w:ascii="Arial" w:hAnsi="Arial" w:cs="Arial"/>
          <w:b/>
          <w:bCs/>
          <w:sz w:val="20"/>
          <w:szCs w:val="20"/>
        </w:rPr>
        <w:t>3</w:t>
      </w:r>
      <w:r w:rsidRPr="0009355E">
        <w:rPr>
          <w:rFonts w:ascii="Arial" w:hAnsi="Arial" w:cs="Arial"/>
          <w:sz w:val="20"/>
          <w:szCs w:val="20"/>
        </w:rPr>
        <w:t xml:space="preserve"> The UK new car market recorded its fifth consecutive month of growth in December, with </w:t>
      </w:r>
      <w:r w:rsidRPr="00681608">
        <w:rPr>
          <w:rFonts w:ascii="Arial" w:hAnsi="Arial" w:cs="Arial"/>
          <w:sz w:val="20"/>
          <w:szCs w:val="20"/>
          <w:shd w:val="clear" w:color="auto" w:fill="FFFFFF" w:themeFill="background1"/>
        </w:rPr>
        <w:t xml:space="preserve">an </w:t>
      </w:r>
      <w:r w:rsidR="00DD5BE3" w:rsidRPr="00681608">
        <w:rPr>
          <w:rFonts w:ascii="Arial" w:hAnsi="Arial" w:cs="Arial"/>
          <w:sz w:val="20"/>
          <w:szCs w:val="20"/>
          <w:shd w:val="clear" w:color="auto" w:fill="FFFFFF" w:themeFill="background1"/>
        </w:rPr>
        <w:t>18.</w:t>
      </w:r>
      <w:r w:rsidR="00CE6F64">
        <w:rPr>
          <w:rFonts w:ascii="Arial" w:hAnsi="Arial" w:cs="Arial"/>
          <w:sz w:val="20"/>
          <w:szCs w:val="20"/>
          <w:shd w:val="clear" w:color="auto" w:fill="FFFFFF" w:themeFill="background1"/>
        </w:rPr>
        <w:t>3</w:t>
      </w:r>
      <w:r w:rsidRPr="00681608">
        <w:rPr>
          <w:rFonts w:ascii="Arial" w:hAnsi="Arial" w:cs="Arial"/>
          <w:sz w:val="20"/>
          <w:szCs w:val="20"/>
          <w:shd w:val="clear" w:color="auto" w:fill="FFFFFF" w:themeFill="background1"/>
        </w:rPr>
        <w:t xml:space="preserve">% increase to reach </w:t>
      </w:r>
      <w:r w:rsidR="008B60BD">
        <w:rPr>
          <w:rFonts w:ascii="Arial" w:hAnsi="Arial" w:cs="Arial"/>
          <w:sz w:val="20"/>
          <w:szCs w:val="20"/>
          <w:shd w:val="clear" w:color="auto" w:fill="FFFFFF" w:themeFill="background1"/>
        </w:rPr>
        <w:t>128,462</w:t>
      </w:r>
      <w:r w:rsidRPr="00681608">
        <w:rPr>
          <w:rFonts w:ascii="Arial" w:hAnsi="Arial" w:cs="Arial"/>
          <w:sz w:val="20"/>
          <w:szCs w:val="20"/>
          <w:shd w:val="clear" w:color="auto" w:fill="FFFFFF" w:themeFill="background1"/>
        </w:rPr>
        <w:t xml:space="preserve"> new registrations, according to the latest figures from the Society of Motor Manufacturers and Traders (SMMT). This second half year </w:t>
      </w:r>
      <w:r w:rsidR="00B55178" w:rsidRPr="00681608">
        <w:rPr>
          <w:rFonts w:ascii="Arial" w:hAnsi="Arial" w:cs="Arial"/>
          <w:sz w:val="20"/>
          <w:szCs w:val="20"/>
          <w:shd w:val="clear" w:color="auto" w:fill="FFFFFF" w:themeFill="background1"/>
        </w:rPr>
        <w:t xml:space="preserve">performance </w:t>
      </w:r>
      <w:r w:rsidRPr="00681608">
        <w:rPr>
          <w:rFonts w:ascii="Arial" w:hAnsi="Arial" w:cs="Arial"/>
          <w:sz w:val="20"/>
          <w:szCs w:val="20"/>
          <w:shd w:val="clear" w:color="auto" w:fill="FFFFFF" w:themeFill="background1"/>
        </w:rPr>
        <w:t xml:space="preserve">was not enough, however, to offset the declines recorded during the first half of 2022. </w:t>
      </w:r>
      <w:r w:rsidR="009256D8" w:rsidRPr="00681608">
        <w:rPr>
          <w:rFonts w:ascii="Arial" w:hAnsi="Arial" w:cs="Arial"/>
          <w:sz w:val="20"/>
          <w:szCs w:val="20"/>
          <w:shd w:val="clear" w:color="auto" w:fill="FFFFFF" w:themeFill="background1"/>
        </w:rPr>
        <w:t xml:space="preserve">Despite underlying demand, </w:t>
      </w:r>
      <w:r w:rsidR="00B90E23" w:rsidRPr="00681608">
        <w:rPr>
          <w:rFonts w:ascii="Arial" w:hAnsi="Arial" w:cs="Arial"/>
          <w:sz w:val="20"/>
          <w:szCs w:val="20"/>
          <w:shd w:val="clear" w:color="auto" w:fill="FFFFFF" w:themeFill="background1"/>
        </w:rPr>
        <w:t xml:space="preserve">pandemic-related </w:t>
      </w:r>
      <w:r w:rsidR="009256D8" w:rsidRPr="00681608">
        <w:rPr>
          <w:rFonts w:ascii="Arial" w:hAnsi="Arial" w:cs="Arial"/>
          <w:sz w:val="20"/>
          <w:szCs w:val="20"/>
          <w:shd w:val="clear" w:color="auto" w:fill="FFFFFF" w:themeFill="background1"/>
        </w:rPr>
        <w:t>g</w:t>
      </w:r>
      <w:r w:rsidR="005A2FB2" w:rsidRPr="00681608">
        <w:rPr>
          <w:rFonts w:ascii="Arial" w:hAnsi="Arial" w:cs="Arial"/>
          <w:sz w:val="20"/>
          <w:szCs w:val="20"/>
          <w:shd w:val="clear" w:color="auto" w:fill="FFFFFF" w:themeFill="background1"/>
        </w:rPr>
        <w:t>lobal</w:t>
      </w:r>
      <w:r w:rsidR="00B90E23" w:rsidRPr="00681608">
        <w:rPr>
          <w:rFonts w:ascii="Arial" w:hAnsi="Arial" w:cs="Arial"/>
          <w:sz w:val="20"/>
          <w:szCs w:val="20"/>
          <w:shd w:val="clear" w:color="auto" w:fill="FFFFFF" w:themeFill="background1"/>
        </w:rPr>
        <w:t xml:space="preserve"> parts</w:t>
      </w:r>
      <w:r w:rsidR="005A2FB2" w:rsidRPr="00681608">
        <w:rPr>
          <w:rFonts w:ascii="Arial" w:hAnsi="Arial" w:cs="Arial"/>
          <w:sz w:val="20"/>
          <w:szCs w:val="20"/>
          <w:shd w:val="clear" w:color="auto" w:fill="FFFFFF" w:themeFill="background1"/>
        </w:rPr>
        <w:t xml:space="preserve"> shortages </w:t>
      </w:r>
      <w:r w:rsidR="009256D8" w:rsidRPr="00681608">
        <w:rPr>
          <w:rFonts w:ascii="Arial" w:hAnsi="Arial" w:cs="Arial"/>
          <w:sz w:val="20"/>
          <w:szCs w:val="20"/>
          <w:shd w:val="clear" w:color="auto" w:fill="FFFFFF" w:themeFill="background1"/>
        </w:rPr>
        <w:t xml:space="preserve">saw overall registrations for the year </w:t>
      </w:r>
      <w:r w:rsidR="00063D30" w:rsidRPr="00681608">
        <w:rPr>
          <w:rFonts w:ascii="Arial" w:hAnsi="Arial" w:cs="Arial"/>
          <w:sz w:val="20"/>
          <w:szCs w:val="20"/>
          <w:shd w:val="clear" w:color="auto" w:fill="FFFFFF" w:themeFill="background1"/>
        </w:rPr>
        <w:t xml:space="preserve">fall </w:t>
      </w:r>
      <w:r w:rsidR="009256D8" w:rsidRPr="00681608">
        <w:rPr>
          <w:rFonts w:ascii="Arial" w:hAnsi="Arial" w:cs="Arial"/>
          <w:sz w:val="20"/>
          <w:szCs w:val="20"/>
          <w:shd w:val="clear" w:color="auto" w:fill="FFFFFF" w:themeFill="background1"/>
        </w:rPr>
        <w:t>-2.0% to 1</w:t>
      </w:r>
      <w:r w:rsidR="00C867FD" w:rsidRPr="00681608">
        <w:rPr>
          <w:rFonts w:ascii="Arial" w:hAnsi="Arial" w:cs="Arial"/>
          <w:sz w:val="20"/>
          <w:szCs w:val="20"/>
          <w:shd w:val="clear" w:color="auto" w:fill="FFFFFF" w:themeFill="background1"/>
        </w:rPr>
        <w:t>.</w:t>
      </w:r>
      <w:r w:rsidR="009256D8" w:rsidRPr="00681608">
        <w:rPr>
          <w:rFonts w:ascii="Arial" w:hAnsi="Arial" w:cs="Arial"/>
          <w:sz w:val="20"/>
          <w:szCs w:val="20"/>
          <w:shd w:val="clear" w:color="auto" w:fill="FFFFFF" w:themeFill="background1"/>
        </w:rPr>
        <w:t>61</w:t>
      </w:r>
      <w:r w:rsidR="00B55178" w:rsidRPr="00681608">
        <w:rPr>
          <w:rFonts w:ascii="Arial" w:hAnsi="Arial" w:cs="Arial"/>
          <w:sz w:val="20"/>
          <w:szCs w:val="20"/>
          <w:shd w:val="clear" w:color="auto" w:fill="FFFFFF" w:themeFill="background1"/>
        </w:rPr>
        <w:t xml:space="preserve"> </w:t>
      </w:r>
      <w:r w:rsidR="009256D8" w:rsidRPr="00681608">
        <w:rPr>
          <w:rFonts w:ascii="Arial" w:hAnsi="Arial" w:cs="Arial"/>
          <w:sz w:val="20"/>
          <w:szCs w:val="20"/>
          <w:shd w:val="clear" w:color="auto" w:fill="FFFFFF" w:themeFill="background1"/>
        </w:rPr>
        <w:t>m</w:t>
      </w:r>
      <w:r w:rsidR="00B55178" w:rsidRPr="00681608">
        <w:rPr>
          <w:rFonts w:ascii="Arial" w:hAnsi="Arial" w:cs="Arial"/>
          <w:sz w:val="20"/>
          <w:szCs w:val="20"/>
          <w:shd w:val="clear" w:color="auto" w:fill="FFFFFF" w:themeFill="background1"/>
        </w:rPr>
        <w:t>illion</w:t>
      </w:r>
      <w:r w:rsidR="009256D8" w:rsidRPr="00681608">
        <w:rPr>
          <w:rFonts w:ascii="Arial" w:hAnsi="Arial" w:cs="Arial"/>
          <w:sz w:val="20"/>
          <w:szCs w:val="20"/>
          <w:shd w:val="clear" w:color="auto" w:fill="FFFFFF" w:themeFill="background1"/>
        </w:rPr>
        <w:t xml:space="preserve">, </w:t>
      </w:r>
      <w:r w:rsidR="005A2FB2" w:rsidRPr="00681608">
        <w:rPr>
          <w:rFonts w:ascii="Arial" w:hAnsi="Arial" w:cs="Arial"/>
          <w:sz w:val="20"/>
          <w:szCs w:val="20"/>
          <w:shd w:val="clear" w:color="auto" w:fill="FFFFFF" w:themeFill="background1"/>
        </w:rPr>
        <w:t>around 700,000 units below pre-</w:t>
      </w:r>
      <w:r w:rsidR="00B90E23" w:rsidRPr="00681608">
        <w:rPr>
          <w:rFonts w:ascii="Arial" w:hAnsi="Arial" w:cs="Arial"/>
          <w:sz w:val="20"/>
          <w:szCs w:val="20"/>
          <w:shd w:val="clear" w:color="auto" w:fill="FFFFFF" w:themeFill="background1"/>
        </w:rPr>
        <w:t>Covid</w:t>
      </w:r>
      <w:r w:rsidR="005A2FB2" w:rsidRPr="0009355E">
        <w:rPr>
          <w:rFonts w:ascii="Arial" w:hAnsi="Arial" w:cs="Arial"/>
          <w:sz w:val="20"/>
          <w:szCs w:val="20"/>
        </w:rPr>
        <w:t xml:space="preserve"> levels</w:t>
      </w:r>
      <w:r w:rsidR="00782D10">
        <w:rPr>
          <w:rFonts w:ascii="Arial" w:hAnsi="Arial" w:cs="Arial"/>
          <w:sz w:val="20"/>
          <w:szCs w:val="20"/>
        </w:rPr>
        <w:t>.</w:t>
      </w:r>
      <w:r w:rsidR="00924EC1" w:rsidRPr="0018669B">
        <w:rPr>
          <w:rFonts w:ascii="Arial" w:hAnsi="Arial" w:cs="Arial"/>
          <w:sz w:val="20"/>
          <w:szCs w:val="20"/>
          <w:vertAlign w:val="superscript"/>
        </w:rPr>
        <w:t>1</w:t>
      </w:r>
    </w:p>
    <w:p w14:paraId="1D76EBFB" w14:textId="7647D0ED" w:rsidR="00782D10" w:rsidRDefault="00782D10" w:rsidP="00681608">
      <w:pPr>
        <w:pStyle w:val="xmsonormal"/>
        <w:shd w:val="clear" w:color="auto" w:fill="FFFFFF" w:themeFill="background1"/>
        <w:jc w:val="both"/>
        <w:rPr>
          <w:rFonts w:ascii="Arial" w:hAnsi="Arial" w:cs="Arial"/>
          <w:sz w:val="20"/>
          <w:szCs w:val="20"/>
        </w:rPr>
      </w:pPr>
    </w:p>
    <w:p w14:paraId="4BA41939" w14:textId="38168351" w:rsidR="00C10AA9" w:rsidRDefault="00782D10" w:rsidP="00681608">
      <w:pPr>
        <w:pStyle w:val="xmsonormal"/>
        <w:shd w:val="clear" w:color="auto" w:fill="FFFFFF" w:themeFill="background1"/>
        <w:jc w:val="both"/>
        <w:rPr>
          <w:rFonts w:ascii="Arial" w:hAnsi="Arial" w:cs="Arial"/>
          <w:sz w:val="20"/>
          <w:szCs w:val="20"/>
        </w:rPr>
      </w:pPr>
      <w:r w:rsidRPr="0009355E">
        <w:rPr>
          <w:rFonts w:ascii="Arial" w:hAnsi="Arial" w:cs="Arial"/>
          <w:sz w:val="20"/>
          <w:szCs w:val="20"/>
        </w:rPr>
        <w:t xml:space="preserve">Constrained supply </w:t>
      </w:r>
      <w:r w:rsidR="00B55178">
        <w:rPr>
          <w:rFonts w:ascii="Arial" w:hAnsi="Arial" w:cs="Arial"/>
          <w:sz w:val="20"/>
          <w:szCs w:val="20"/>
        </w:rPr>
        <w:t>saw</w:t>
      </w:r>
      <w:r w:rsidR="00B55178" w:rsidRPr="0009355E">
        <w:rPr>
          <w:rFonts w:ascii="Arial" w:hAnsi="Arial" w:cs="Arial"/>
          <w:sz w:val="20"/>
          <w:szCs w:val="20"/>
        </w:rPr>
        <w:t xml:space="preserve"> </w:t>
      </w:r>
      <w:r w:rsidRPr="0009355E">
        <w:rPr>
          <w:rFonts w:ascii="Arial" w:hAnsi="Arial" w:cs="Arial"/>
          <w:sz w:val="20"/>
          <w:szCs w:val="20"/>
        </w:rPr>
        <w:t xml:space="preserve">many manufacturers prioritise </w:t>
      </w:r>
      <w:r>
        <w:rPr>
          <w:rFonts w:ascii="Arial" w:hAnsi="Arial" w:cs="Arial"/>
          <w:sz w:val="20"/>
          <w:szCs w:val="20"/>
        </w:rPr>
        <w:t>deliveries</w:t>
      </w:r>
      <w:r w:rsidRPr="0009355E">
        <w:rPr>
          <w:rFonts w:ascii="Arial" w:hAnsi="Arial" w:cs="Arial"/>
          <w:sz w:val="20"/>
          <w:szCs w:val="20"/>
        </w:rPr>
        <w:t xml:space="preserve"> of the latest zero emission</w:t>
      </w:r>
      <w:r w:rsidR="00221B5A">
        <w:rPr>
          <w:rFonts w:ascii="Arial" w:hAnsi="Arial" w:cs="Arial"/>
          <w:sz w:val="20"/>
          <w:szCs w:val="20"/>
        </w:rPr>
        <w:t>-</w:t>
      </w:r>
      <w:r w:rsidRPr="0009355E">
        <w:rPr>
          <w:rFonts w:ascii="Arial" w:hAnsi="Arial" w:cs="Arial"/>
          <w:sz w:val="20"/>
          <w:szCs w:val="20"/>
        </w:rPr>
        <w:t>capable models</w:t>
      </w:r>
      <w:r>
        <w:rPr>
          <w:rFonts w:ascii="Arial" w:hAnsi="Arial" w:cs="Arial"/>
          <w:sz w:val="20"/>
          <w:szCs w:val="20"/>
        </w:rPr>
        <w:t>. December saw battery electric vehicles</w:t>
      </w:r>
      <w:r w:rsidR="00063D30">
        <w:rPr>
          <w:rFonts w:ascii="Arial" w:hAnsi="Arial" w:cs="Arial"/>
          <w:sz w:val="20"/>
          <w:szCs w:val="20"/>
        </w:rPr>
        <w:t xml:space="preserve"> (BEVs)</w:t>
      </w:r>
      <w:r>
        <w:rPr>
          <w:rFonts w:ascii="Arial" w:hAnsi="Arial" w:cs="Arial"/>
          <w:sz w:val="20"/>
          <w:szCs w:val="20"/>
        </w:rPr>
        <w:t xml:space="preserve"> claim their largest ever monthly market share, </w:t>
      </w:r>
      <w:r w:rsidRPr="00681608">
        <w:rPr>
          <w:rFonts w:ascii="Arial" w:hAnsi="Arial" w:cs="Arial"/>
          <w:sz w:val="20"/>
          <w:szCs w:val="20"/>
          <w:shd w:val="clear" w:color="auto" w:fill="FFFFFF" w:themeFill="background1"/>
        </w:rPr>
        <w:t>of 32.9%</w:t>
      </w:r>
      <w:r w:rsidR="00063D30" w:rsidRPr="00681608">
        <w:rPr>
          <w:rFonts w:ascii="Arial" w:hAnsi="Arial" w:cs="Arial"/>
          <w:sz w:val="20"/>
          <w:szCs w:val="20"/>
          <w:shd w:val="clear" w:color="auto" w:fill="FFFFFF" w:themeFill="background1"/>
        </w:rPr>
        <w:t>, while for</w:t>
      </w:r>
      <w:r w:rsidRPr="00681608">
        <w:rPr>
          <w:rFonts w:ascii="Arial" w:hAnsi="Arial" w:cs="Arial"/>
          <w:sz w:val="20"/>
          <w:szCs w:val="20"/>
          <w:shd w:val="clear" w:color="auto" w:fill="FFFFFF" w:themeFill="background1"/>
        </w:rPr>
        <w:t xml:space="preserve"> 2022</w:t>
      </w:r>
      <w:r w:rsidR="00B55178" w:rsidRPr="00681608">
        <w:rPr>
          <w:rFonts w:ascii="Arial" w:hAnsi="Arial" w:cs="Arial"/>
          <w:sz w:val="20"/>
          <w:szCs w:val="20"/>
          <w:shd w:val="clear" w:color="auto" w:fill="FFFFFF" w:themeFill="background1"/>
        </w:rPr>
        <w:t xml:space="preserve"> as a whole</w:t>
      </w:r>
      <w:r w:rsidRPr="00681608">
        <w:rPr>
          <w:rFonts w:ascii="Arial" w:hAnsi="Arial" w:cs="Arial"/>
          <w:sz w:val="20"/>
          <w:szCs w:val="20"/>
          <w:shd w:val="clear" w:color="auto" w:fill="FFFFFF" w:themeFill="background1"/>
        </w:rPr>
        <w:t xml:space="preserve"> </w:t>
      </w:r>
      <w:r w:rsidR="00063D30" w:rsidRPr="00681608">
        <w:rPr>
          <w:rFonts w:ascii="Arial" w:hAnsi="Arial" w:cs="Arial"/>
          <w:sz w:val="20"/>
          <w:szCs w:val="20"/>
          <w:shd w:val="clear" w:color="auto" w:fill="FFFFFF" w:themeFill="background1"/>
        </w:rPr>
        <w:t xml:space="preserve">they </w:t>
      </w:r>
      <w:r w:rsidRPr="00681608">
        <w:rPr>
          <w:rFonts w:ascii="Arial" w:hAnsi="Arial" w:cs="Arial"/>
          <w:sz w:val="20"/>
          <w:szCs w:val="20"/>
          <w:shd w:val="clear" w:color="auto" w:fill="FFFFFF" w:themeFill="background1"/>
        </w:rPr>
        <w:t>comprised 16.6% of registrations</w:t>
      </w:r>
      <w:r w:rsidR="00063D30" w:rsidRPr="00681608">
        <w:rPr>
          <w:rFonts w:ascii="Arial" w:hAnsi="Arial" w:cs="Arial"/>
          <w:sz w:val="20"/>
          <w:szCs w:val="20"/>
          <w:shd w:val="clear" w:color="auto" w:fill="FFFFFF" w:themeFill="background1"/>
        </w:rPr>
        <w:t xml:space="preserve">, surpassing </w:t>
      </w:r>
      <w:r w:rsidRPr="00681608">
        <w:rPr>
          <w:rFonts w:ascii="Arial" w:hAnsi="Arial" w:cs="Arial"/>
          <w:sz w:val="20"/>
          <w:szCs w:val="20"/>
          <w:shd w:val="clear" w:color="auto" w:fill="FFFFFF" w:themeFill="background1"/>
        </w:rPr>
        <w:t>diesel for the first time to become</w:t>
      </w:r>
      <w:r w:rsidRPr="0009355E">
        <w:rPr>
          <w:rFonts w:ascii="Arial" w:hAnsi="Arial" w:cs="Arial"/>
          <w:sz w:val="20"/>
          <w:szCs w:val="20"/>
        </w:rPr>
        <w:t xml:space="preserve"> the second most popular powertrain after petrol.</w:t>
      </w:r>
      <w:r w:rsidR="00063D30">
        <w:rPr>
          <w:rFonts w:ascii="Arial" w:hAnsi="Arial" w:cs="Arial"/>
          <w:sz w:val="20"/>
          <w:szCs w:val="20"/>
        </w:rPr>
        <w:t xml:space="preserve"> Meanwhile, p</w:t>
      </w:r>
      <w:r w:rsidRPr="0009355E">
        <w:rPr>
          <w:rFonts w:ascii="Arial" w:hAnsi="Arial" w:cs="Arial"/>
          <w:sz w:val="20"/>
          <w:szCs w:val="20"/>
        </w:rPr>
        <w:t>lug-in hybrid</w:t>
      </w:r>
      <w:r w:rsidR="00063D30">
        <w:rPr>
          <w:rFonts w:ascii="Arial" w:hAnsi="Arial" w:cs="Arial"/>
          <w:sz w:val="20"/>
          <w:szCs w:val="20"/>
        </w:rPr>
        <w:t>s</w:t>
      </w:r>
      <w:r w:rsidRPr="0009355E">
        <w:rPr>
          <w:rFonts w:ascii="Arial" w:hAnsi="Arial" w:cs="Arial"/>
          <w:sz w:val="20"/>
          <w:szCs w:val="20"/>
        </w:rPr>
        <w:t xml:space="preserve"> </w:t>
      </w:r>
      <w:r w:rsidRPr="00681608">
        <w:rPr>
          <w:rFonts w:ascii="Arial" w:hAnsi="Arial" w:cs="Arial"/>
          <w:sz w:val="20"/>
          <w:szCs w:val="20"/>
          <w:shd w:val="clear" w:color="auto" w:fill="FFFFFF" w:themeFill="background1"/>
        </w:rPr>
        <w:t>(PHEV</w:t>
      </w:r>
      <w:r w:rsidR="00063D30" w:rsidRPr="00681608">
        <w:rPr>
          <w:rFonts w:ascii="Arial" w:hAnsi="Arial" w:cs="Arial"/>
          <w:sz w:val="20"/>
          <w:szCs w:val="20"/>
          <w:shd w:val="clear" w:color="auto" w:fill="FFFFFF" w:themeFill="background1"/>
        </w:rPr>
        <w:t>s</w:t>
      </w:r>
      <w:r w:rsidRPr="00681608">
        <w:rPr>
          <w:rFonts w:ascii="Arial" w:hAnsi="Arial" w:cs="Arial"/>
          <w:sz w:val="20"/>
          <w:szCs w:val="20"/>
          <w:shd w:val="clear" w:color="auto" w:fill="FFFFFF" w:themeFill="background1"/>
        </w:rPr>
        <w:t xml:space="preserve">) saw their </w:t>
      </w:r>
      <w:r w:rsidR="00D4683F" w:rsidRPr="00681608">
        <w:rPr>
          <w:rFonts w:ascii="Arial" w:hAnsi="Arial" w:cs="Arial"/>
          <w:sz w:val="20"/>
          <w:szCs w:val="20"/>
          <w:shd w:val="clear" w:color="auto" w:fill="FFFFFF" w:themeFill="background1"/>
        </w:rPr>
        <w:t xml:space="preserve">annual </w:t>
      </w:r>
      <w:r w:rsidRPr="00681608">
        <w:rPr>
          <w:rFonts w:ascii="Arial" w:hAnsi="Arial" w:cs="Arial"/>
          <w:sz w:val="20"/>
          <w:szCs w:val="20"/>
          <w:shd w:val="clear" w:color="auto" w:fill="FFFFFF" w:themeFill="background1"/>
        </w:rPr>
        <w:t xml:space="preserve">share decline to 6.3%, </w:t>
      </w:r>
      <w:r w:rsidR="00063D30" w:rsidRPr="00681608">
        <w:rPr>
          <w:rFonts w:ascii="Arial" w:hAnsi="Arial" w:cs="Arial"/>
          <w:sz w:val="20"/>
          <w:szCs w:val="20"/>
          <w:shd w:val="clear" w:color="auto" w:fill="FFFFFF" w:themeFill="background1"/>
        </w:rPr>
        <w:t xml:space="preserve">meaning that combined, </w:t>
      </w:r>
      <w:r w:rsidRPr="00681608">
        <w:rPr>
          <w:rFonts w:ascii="Arial" w:hAnsi="Arial" w:cs="Arial"/>
          <w:sz w:val="20"/>
          <w:szCs w:val="20"/>
          <w:shd w:val="clear" w:color="auto" w:fill="FFFFFF" w:themeFill="background1"/>
        </w:rPr>
        <w:t>all plug-in vehicles account</w:t>
      </w:r>
      <w:r w:rsidR="00063D30" w:rsidRPr="00681608">
        <w:rPr>
          <w:rFonts w:ascii="Arial" w:hAnsi="Arial" w:cs="Arial"/>
          <w:sz w:val="20"/>
          <w:szCs w:val="20"/>
          <w:shd w:val="clear" w:color="auto" w:fill="FFFFFF" w:themeFill="background1"/>
        </w:rPr>
        <w:t>ed</w:t>
      </w:r>
      <w:r w:rsidRPr="00681608">
        <w:rPr>
          <w:rFonts w:ascii="Arial" w:hAnsi="Arial" w:cs="Arial"/>
          <w:sz w:val="20"/>
          <w:szCs w:val="20"/>
          <w:shd w:val="clear" w:color="auto" w:fill="FFFFFF" w:themeFill="background1"/>
        </w:rPr>
        <w:t xml:space="preserve"> for 22.</w:t>
      </w:r>
      <w:r w:rsidR="004A017E">
        <w:rPr>
          <w:rFonts w:ascii="Arial" w:hAnsi="Arial" w:cs="Arial"/>
          <w:sz w:val="20"/>
          <w:szCs w:val="20"/>
          <w:shd w:val="clear" w:color="auto" w:fill="FFFFFF" w:themeFill="background1"/>
        </w:rPr>
        <w:t>9</w:t>
      </w:r>
      <w:r w:rsidRPr="00681608">
        <w:rPr>
          <w:rFonts w:ascii="Arial" w:hAnsi="Arial" w:cs="Arial"/>
          <w:sz w:val="20"/>
          <w:szCs w:val="20"/>
          <w:shd w:val="clear" w:color="auto" w:fill="FFFFFF" w:themeFill="background1"/>
        </w:rPr>
        <w:t xml:space="preserve">% of new registrations in </w:t>
      </w:r>
      <w:r w:rsidR="00D4683F" w:rsidRPr="00681608">
        <w:rPr>
          <w:rFonts w:ascii="Arial" w:hAnsi="Arial" w:cs="Arial"/>
          <w:sz w:val="20"/>
          <w:szCs w:val="20"/>
          <w:shd w:val="clear" w:color="auto" w:fill="FFFFFF" w:themeFill="background1"/>
        </w:rPr>
        <w:t>2022</w:t>
      </w:r>
      <w:r w:rsidRPr="00681608">
        <w:rPr>
          <w:rFonts w:ascii="Arial" w:hAnsi="Arial" w:cs="Arial"/>
          <w:sz w:val="20"/>
          <w:szCs w:val="20"/>
          <w:shd w:val="clear" w:color="auto" w:fill="FFFFFF" w:themeFill="background1"/>
        </w:rPr>
        <w:t xml:space="preserve"> – a record high, although a smaller increase in overall market share than recorded in previous years.</w:t>
      </w:r>
      <w:r w:rsidR="0018669B" w:rsidRPr="00681608">
        <w:rPr>
          <w:rFonts w:ascii="Arial" w:hAnsi="Arial" w:cs="Arial"/>
          <w:sz w:val="20"/>
          <w:szCs w:val="20"/>
          <w:shd w:val="clear" w:color="auto" w:fill="FFFFFF" w:themeFill="background1"/>
          <w:vertAlign w:val="superscript"/>
        </w:rPr>
        <w:t>2</w:t>
      </w:r>
      <w:r w:rsidRPr="00681608">
        <w:rPr>
          <w:rFonts w:ascii="Arial" w:hAnsi="Arial" w:cs="Arial"/>
          <w:sz w:val="20"/>
          <w:szCs w:val="20"/>
          <w:shd w:val="clear" w:color="auto" w:fill="FFFFFF" w:themeFill="background1"/>
        </w:rPr>
        <w:t xml:space="preserve"> </w:t>
      </w:r>
      <w:r w:rsidR="00C10AA9" w:rsidRPr="00681608">
        <w:rPr>
          <w:rFonts w:ascii="Arial" w:hAnsi="Arial" w:cs="Arial"/>
          <w:sz w:val="20"/>
          <w:szCs w:val="20"/>
          <w:shd w:val="clear" w:color="auto" w:fill="FFFFFF" w:themeFill="background1"/>
        </w:rPr>
        <w:t>Hybrid electric vehicles (HEVs) also enjoyed growth, rising to an 11.6% market share</w:t>
      </w:r>
      <w:r w:rsidR="00D4683F" w:rsidRPr="00681608">
        <w:rPr>
          <w:rFonts w:ascii="Arial" w:hAnsi="Arial" w:cs="Arial"/>
          <w:sz w:val="20"/>
          <w:szCs w:val="20"/>
          <w:shd w:val="clear" w:color="auto" w:fill="FFFFFF" w:themeFill="background1"/>
        </w:rPr>
        <w:t xml:space="preserve"> for the year</w:t>
      </w:r>
      <w:r w:rsidR="00C10AA9" w:rsidRPr="00681608">
        <w:rPr>
          <w:rFonts w:ascii="Arial" w:hAnsi="Arial" w:cs="Arial"/>
          <w:sz w:val="20"/>
          <w:szCs w:val="20"/>
          <w:shd w:val="clear" w:color="auto" w:fill="FFFFFF" w:themeFill="background1"/>
        </w:rPr>
        <w:t>. As a result, average new</w:t>
      </w:r>
      <w:r w:rsidR="00C10AA9" w:rsidRPr="0009355E">
        <w:rPr>
          <w:rFonts w:ascii="Arial" w:hAnsi="Arial" w:cs="Arial"/>
          <w:sz w:val="20"/>
          <w:szCs w:val="20"/>
        </w:rPr>
        <w:t xml:space="preserve"> car CO</w:t>
      </w:r>
      <w:r w:rsidR="00C10AA9" w:rsidRPr="0009355E">
        <w:rPr>
          <w:rFonts w:ascii="Arial" w:hAnsi="Arial" w:cs="Arial"/>
          <w:sz w:val="20"/>
          <w:szCs w:val="20"/>
          <w:vertAlign w:val="subscript"/>
        </w:rPr>
        <w:t xml:space="preserve">2 </w:t>
      </w:r>
      <w:r w:rsidR="00C10AA9" w:rsidRPr="00681608">
        <w:rPr>
          <w:rFonts w:ascii="Arial" w:hAnsi="Arial" w:cs="Arial"/>
          <w:sz w:val="20"/>
          <w:szCs w:val="20"/>
          <w:shd w:val="clear" w:color="auto" w:fill="FFFFFF" w:themeFill="background1"/>
        </w:rPr>
        <w:t>fell -</w:t>
      </w:r>
      <w:r w:rsidR="000E2F88" w:rsidRPr="00681608">
        <w:rPr>
          <w:rFonts w:ascii="Arial" w:hAnsi="Arial" w:cs="Arial"/>
          <w:sz w:val="20"/>
          <w:szCs w:val="20"/>
          <w:shd w:val="clear" w:color="auto" w:fill="FFFFFF" w:themeFill="background1"/>
        </w:rPr>
        <w:t>6.9</w:t>
      </w:r>
      <w:r w:rsidR="00C10AA9" w:rsidRPr="00681608">
        <w:rPr>
          <w:rFonts w:ascii="Arial" w:hAnsi="Arial" w:cs="Arial"/>
          <w:sz w:val="20"/>
          <w:szCs w:val="20"/>
          <w:shd w:val="clear" w:color="auto" w:fill="FFFFFF" w:themeFill="background1"/>
        </w:rPr>
        <w:t>% to 11</w:t>
      </w:r>
      <w:r w:rsidR="000E2F88" w:rsidRPr="00681608">
        <w:rPr>
          <w:rFonts w:ascii="Arial" w:hAnsi="Arial" w:cs="Arial"/>
          <w:sz w:val="20"/>
          <w:szCs w:val="20"/>
          <w:shd w:val="clear" w:color="auto" w:fill="FFFFFF" w:themeFill="background1"/>
        </w:rPr>
        <w:t>1.4</w:t>
      </w:r>
      <w:r w:rsidR="00C10AA9" w:rsidRPr="00681608">
        <w:rPr>
          <w:rFonts w:ascii="Arial" w:hAnsi="Arial" w:cs="Arial"/>
          <w:sz w:val="20"/>
          <w:szCs w:val="20"/>
          <w:shd w:val="clear" w:color="auto" w:fill="FFFFFF" w:themeFill="background1"/>
        </w:rPr>
        <w:t>g/km,</w:t>
      </w:r>
      <w:r w:rsidR="00C10AA9" w:rsidRPr="0009355E">
        <w:rPr>
          <w:rFonts w:ascii="Arial" w:hAnsi="Arial" w:cs="Arial"/>
          <w:sz w:val="20"/>
          <w:szCs w:val="20"/>
        </w:rPr>
        <w:t xml:space="preserve"> yet again the lowest in history.</w:t>
      </w:r>
    </w:p>
    <w:p w14:paraId="3C26FEA5" w14:textId="77777777" w:rsidR="00782D10" w:rsidRPr="0009355E" w:rsidRDefault="00782D10" w:rsidP="0009355E">
      <w:pPr>
        <w:pStyle w:val="xmsonormal"/>
        <w:jc w:val="both"/>
        <w:rPr>
          <w:rFonts w:ascii="Arial" w:hAnsi="Arial" w:cs="Arial"/>
          <w:sz w:val="20"/>
          <w:szCs w:val="20"/>
        </w:rPr>
      </w:pPr>
    </w:p>
    <w:p w14:paraId="6EFF6C5E" w14:textId="1EBEFA56" w:rsidR="0009355E" w:rsidRPr="0009355E" w:rsidRDefault="0009355E" w:rsidP="0009355E">
      <w:pPr>
        <w:pStyle w:val="xmsonormal"/>
        <w:jc w:val="both"/>
        <w:rPr>
          <w:rFonts w:ascii="Arial" w:hAnsi="Arial" w:cs="Arial"/>
          <w:sz w:val="20"/>
          <w:szCs w:val="20"/>
        </w:rPr>
      </w:pPr>
      <w:r w:rsidRPr="0009355E">
        <w:rPr>
          <w:rFonts w:ascii="Arial" w:hAnsi="Arial" w:cs="Arial"/>
          <w:sz w:val="20"/>
          <w:szCs w:val="20"/>
        </w:rPr>
        <w:t>While private buyers accounted for more than half of all registrations, fleets and business buyers were responsible for the lion's share of battery electric vehicles, accounting for</w:t>
      </w:r>
      <w:r w:rsidR="00A6199B">
        <w:rPr>
          <w:rFonts w:ascii="Arial" w:hAnsi="Arial" w:cs="Arial"/>
          <w:sz w:val="20"/>
          <w:szCs w:val="20"/>
        </w:rPr>
        <w:t xml:space="preserve"> two thirds</w:t>
      </w:r>
      <w:r w:rsidRPr="0009355E">
        <w:rPr>
          <w:rFonts w:ascii="Arial" w:hAnsi="Arial" w:cs="Arial"/>
          <w:sz w:val="20"/>
          <w:szCs w:val="20"/>
        </w:rPr>
        <w:t xml:space="preserve"> </w:t>
      </w:r>
      <w:r w:rsidR="00A6199B" w:rsidRPr="00681608">
        <w:rPr>
          <w:rFonts w:ascii="Arial" w:hAnsi="Arial" w:cs="Arial"/>
          <w:sz w:val="20"/>
          <w:szCs w:val="20"/>
          <w:shd w:val="clear" w:color="auto" w:fill="FFFFFF" w:themeFill="background1"/>
        </w:rPr>
        <w:t>(</w:t>
      </w:r>
      <w:r w:rsidRPr="00681608">
        <w:rPr>
          <w:rFonts w:ascii="Arial" w:hAnsi="Arial" w:cs="Arial"/>
          <w:sz w:val="20"/>
          <w:szCs w:val="20"/>
          <w:shd w:val="clear" w:color="auto" w:fill="FFFFFF" w:themeFill="background1"/>
        </w:rPr>
        <w:t>6</w:t>
      </w:r>
      <w:r w:rsidR="00E621B0" w:rsidRPr="00681608">
        <w:rPr>
          <w:rFonts w:ascii="Arial" w:hAnsi="Arial" w:cs="Arial"/>
          <w:sz w:val="20"/>
          <w:szCs w:val="20"/>
          <w:shd w:val="clear" w:color="auto" w:fill="FFFFFF" w:themeFill="background1"/>
        </w:rPr>
        <w:t>6.7</w:t>
      </w:r>
      <w:r w:rsidRPr="00681608">
        <w:rPr>
          <w:rFonts w:ascii="Arial" w:hAnsi="Arial" w:cs="Arial"/>
          <w:sz w:val="20"/>
          <w:szCs w:val="20"/>
          <w:shd w:val="clear" w:color="auto" w:fill="FFFFFF" w:themeFill="background1"/>
        </w:rPr>
        <w:t>%</w:t>
      </w:r>
      <w:r w:rsidR="00A6199B" w:rsidRPr="00681608">
        <w:rPr>
          <w:rFonts w:ascii="Arial" w:hAnsi="Arial" w:cs="Arial"/>
          <w:sz w:val="20"/>
          <w:szCs w:val="20"/>
          <w:shd w:val="clear" w:color="auto" w:fill="FFFFFF" w:themeFill="background1"/>
        </w:rPr>
        <w:t>)</w:t>
      </w:r>
      <w:r w:rsidRPr="00681608">
        <w:rPr>
          <w:rFonts w:ascii="Arial" w:hAnsi="Arial" w:cs="Arial"/>
          <w:sz w:val="20"/>
          <w:szCs w:val="20"/>
          <w:shd w:val="clear" w:color="auto" w:fill="FFFFFF" w:themeFill="background1"/>
        </w:rPr>
        <w:t xml:space="preserve"> of</w:t>
      </w:r>
      <w:r w:rsidRPr="0009355E">
        <w:rPr>
          <w:rFonts w:ascii="Arial" w:hAnsi="Arial" w:cs="Arial"/>
          <w:sz w:val="20"/>
          <w:szCs w:val="20"/>
        </w:rPr>
        <w:t xml:space="preserve"> all BEV registrations</w:t>
      </w:r>
      <w:r w:rsidR="00E621B0">
        <w:rPr>
          <w:rFonts w:ascii="Arial" w:hAnsi="Arial" w:cs="Arial"/>
          <w:sz w:val="20"/>
          <w:szCs w:val="20"/>
        </w:rPr>
        <w:t xml:space="preserve"> and 74.7% of the volume gain in 2022</w:t>
      </w:r>
      <w:r w:rsidRPr="0009355E">
        <w:rPr>
          <w:rFonts w:ascii="Arial" w:hAnsi="Arial" w:cs="Arial"/>
          <w:sz w:val="20"/>
          <w:szCs w:val="20"/>
        </w:rPr>
        <w:t xml:space="preserve">. Delivering the scale and speed of market transition required to meet climate change targets will require action to enthuse more private buyers to </w:t>
      </w:r>
      <w:r w:rsidR="00A47075">
        <w:rPr>
          <w:rFonts w:ascii="Arial" w:hAnsi="Arial" w:cs="Arial"/>
          <w:sz w:val="20"/>
          <w:szCs w:val="20"/>
        </w:rPr>
        <w:t>go electric</w:t>
      </w:r>
      <w:r w:rsidRPr="0009355E">
        <w:rPr>
          <w:rFonts w:ascii="Arial" w:hAnsi="Arial" w:cs="Arial"/>
          <w:sz w:val="20"/>
          <w:szCs w:val="20"/>
        </w:rPr>
        <w:t>. </w:t>
      </w:r>
    </w:p>
    <w:p w14:paraId="44CC1FEE" w14:textId="56BB8F1F" w:rsidR="0009355E" w:rsidRPr="00F94081" w:rsidRDefault="0009355E" w:rsidP="00F94081">
      <w:pPr>
        <w:rPr>
          <w:rFonts w:eastAsia="Times New Roman"/>
        </w:rPr>
      </w:pPr>
      <w:r w:rsidRPr="0009355E">
        <w:rPr>
          <w:rFonts w:eastAsia="Times New Roman"/>
        </w:rPr>
        <w:br/>
      </w:r>
      <w:r w:rsidR="00063D30">
        <w:t>E</w:t>
      </w:r>
      <w:r w:rsidRPr="0009355E">
        <w:t xml:space="preserve">nsuring </w:t>
      </w:r>
      <w:r w:rsidR="00063D30">
        <w:t xml:space="preserve">drivers in </w:t>
      </w:r>
      <w:r w:rsidRPr="0009355E">
        <w:t>every part of the country can benefit depends on broader policies to encourage uptake of zero emission-capable vehicles during 2023. For instance, whil</w:t>
      </w:r>
      <w:r w:rsidR="00A6199B">
        <w:t>e</w:t>
      </w:r>
      <w:r w:rsidRPr="0009355E">
        <w:t> the industry recognises the need for fair vehicle taxation</w:t>
      </w:r>
      <w:r w:rsidR="000A3D3F">
        <w:t>,</w:t>
      </w:r>
      <w:r w:rsidR="007124B6">
        <w:t xml:space="preserve"> </w:t>
      </w:r>
      <w:r w:rsidRPr="0009355E">
        <w:t xml:space="preserve">plans to introduce VED on BEVs </w:t>
      </w:r>
      <w:r w:rsidR="007124B6">
        <w:t xml:space="preserve">from 2025 </w:t>
      </w:r>
      <w:r w:rsidRPr="0009355E">
        <w:t>with the same ‘premium’ threshold as internal combustion</w:t>
      </w:r>
      <w:r w:rsidR="00F94081">
        <w:t>-</w:t>
      </w:r>
      <w:r w:rsidRPr="0009355E">
        <w:t xml:space="preserve">engine cars will disproportionately penalise those </w:t>
      </w:r>
      <w:r w:rsidR="00266EF3">
        <w:t>moving to electric</w:t>
      </w:r>
      <w:r w:rsidRPr="0009355E">
        <w:t xml:space="preserve">. Higher production costs mean </w:t>
      </w:r>
      <w:r w:rsidRPr="00681608">
        <w:rPr>
          <w:shd w:val="clear" w:color="auto" w:fill="FFFFFF" w:themeFill="background1"/>
        </w:rPr>
        <w:t>more than half of all BEV registrations this year</w:t>
      </w:r>
      <w:r w:rsidRPr="0009355E">
        <w:t xml:space="preserve"> would </w:t>
      </w:r>
      <w:r w:rsidR="007124B6">
        <w:t xml:space="preserve">have </w:t>
      </w:r>
      <w:r w:rsidRPr="0009355E">
        <w:t>incur</w:t>
      </w:r>
      <w:r w:rsidR="007124B6">
        <w:t>red the</w:t>
      </w:r>
      <w:r w:rsidRPr="0009355E">
        <w:t xml:space="preserve"> ‘premium’ VED </w:t>
      </w:r>
      <w:r w:rsidR="007124B6">
        <w:t>if</w:t>
      </w:r>
      <w:r w:rsidR="00D662E7">
        <w:t xml:space="preserve"> it</w:t>
      </w:r>
      <w:r w:rsidR="007124B6">
        <w:t xml:space="preserve"> had been in place</w:t>
      </w:r>
      <w:r w:rsidRPr="0009355E">
        <w:t>, a move which risks discouraging wider adoption.</w:t>
      </w:r>
      <w:r w:rsidR="0018669B">
        <w:rPr>
          <w:vertAlign w:val="superscript"/>
        </w:rPr>
        <w:t>3</w:t>
      </w:r>
    </w:p>
    <w:p w14:paraId="04BD9687" w14:textId="19B7C009" w:rsidR="00F94081" w:rsidRDefault="0009355E" w:rsidP="0009355E">
      <w:pPr>
        <w:pStyle w:val="xmsonormal"/>
        <w:jc w:val="both"/>
        <w:rPr>
          <w:rFonts w:ascii="Arial" w:hAnsi="Arial" w:cs="Arial"/>
          <w:sz w:val="20"/>
          <w:szCs w:val="20"/>
        </w:rPr>
      </w:pPr>
      <w:r w:rsidRPr="0009355E">
        <w:rPr>
          <w:rFonts w:ascii="Arial" w:hAnsi="Arial" w:cs="Arial"/>
          <w:sz w:val="20"/>
          <w:szCs w:val="20"/>
        </w:rPr>
        <w:t>Chargepoint provision also remains a barrier to EV uptake</w:t>
      </w:r>
      <w:r w:rsidR="00FD6F35">
        <w:rPr>
          <w:rFonts w:ascii="Arial" w:hAnsi="Arial" w:cs="Arial"/>
          <w:sz w:val="20"/>
          <w:szCs w:val="20"/>
        </w:rPr>
        <w:t>.</w:t>
      </w:r>
      <w:r w:rsidR="004D5F13">
        <w:rPr>
          <w:rFonts w:ascii="Arial" w:hAnsi="Arial" w:cs="Arial"/>
          <w:sz w:val="20"/>
          <w:szCs w:val="20"/>
        </w:rPr>
        <w:t xml:space="preserve"> </w:t>
      </w:r>
      <w:r w:rsidRPr="00F94081">
        <w:rPr>
          <w:rFonts w:ascii="Arial" w:hAnsi="Arial" w:cs="Arial"/>
          <w:sz w:val="20"/>
          <w:szCs w:val="20"/>
        </w:rPr>
        <w:t xml:space="preserve">The </w:t>
      </w:r>
      <w:r w:rsidR="006C0777">
        <w:rPr>
          <w:rFonts w:ascii="Arial" w:hAnsi="Arial" w:cs="Arial"/>
          <w:sz w:val="20"/>
          <w:szCs w:val="20"/>
        </w:rPr>
        <w:t>g</w:t>
      </w:r>
      <w:r w:rsidRPr="00F94081">
        <w:rPr>
          <w:rFonts w:ascii="Arial" w:hAnsi="Arial" w:cs="Arial"/>
          <w:sz w:val="20"/>
          <w:szCs w:val="20"/>
        </w:rPr>
        <w:t xml:space="preserve">overnment’s EV </w:t>
      </w:r>
      <w:r w:rsidR="00F94081">
        <w:rPr>
          <w:rFonts w:ascii="Arial" w:hAnsi="Arial" w:cs="Arial"/>
          <w:sz w:val="20"/>
          <w:szCs w:val="20"/>
        </w:rPr>
        <w:t>I</w:t>
      </w:r>
      <w:r w:rsidRPr="00F94081">
        <w:rPr>
          <w:rFonts w:ascii="Arial" w:hAnsi="Arial" w:cs="Arial"/>
          <w:sz w:val="20"/>
          <w:szCs w:val="20"/>
        </w:rPr>
        <w:t xml:space="preserve">nfrastructure </w:t>
      </w:r>
      <w:r w:rsidR="00F94081">
        <w:rPr>
          <w:rFonts w:ascii="Arial" w:hAnsi="Arial" w:cs="Arial"/>
          <w:sz w:val="20"/>
          <w:szCs w:val="20"/>
        </w:rPr>
        <w:t>S</w:t>
      </w:r>
      <w:r w:rsidRPr="00F94081">
        <w:rPr>
          <w:rFonts w:ascii="Arial" w:hAnsi="Arial" w:cs="Arial"/>
          <w:sz w:val="20"/>
          <w:szCs w:val="20"/>
        </w:rPr>
        <w:t>trategy forecast</w:t>
      </w:r>
      <w:r w:rsidR="00F94081">
        <w:rPr>
          <w:rFonts w:ascii="Arial" w:hAnsi="Arial" w:cs="Arial"/>
          <w:sz w:val="20"/>
          <w:szCs w:val="20"/>
        </w:rPr>
        <w:t xml:space="preserve"> that</w:t>
      </w:r>
      <w:r w:rsidRPr="00F94081">
        <w:rPr>
          <w:rFonts w:ascii="Arial" w:hAnsi="Arial" w:cs="Arial"/>
          <w:sz w:val="20"/>
          <w:szCs w:val="20"/>
        </w:rPr>
        <w:t xml:space="preserve"> the UK</w:t>
      </w:r>
      <w:r w:rsidR="00F94081">
        <w:rPr>
          <w:rFonts w:ascii="Arial" w:hAnsi="Arial" w:cs="Arial"/>
          <w:sz w:val="20"/>
          <w:szCs w:val="20"/>
        </w:rPr>
        <w:t xml:space="preserve"> would require</w:t>
      </w:r>
      <w:r w:rsidRPr="00F94081">
        <w:rPr>
          <w:rFonts w:ascii="Arial" w:hAnsi="Arial" w:cs="Arial"/>
          <w:sz w:val="20"/>
          <w:szCs w:val="20"/>
        </w:rPr>
        <w:t xml:space="preserve"> between 300,000 and 720,000 chargepoints by 2030. Meeting just the lower number </w:t>
      </w:r>
      <w:r w:rsidRPr="00681608">
        <w:rPr>
          <w:rFonts w:ascii="Arial" w:hAnsi="Arial" w:cs="Arial"/>
          <w:sz w:val="20"/>
          <w:szCs w:val="20"/>
          <w:shd w:val="clear" w:color="auto" w:fill="FFFFFF" w:themeFill="background1"/>
        </w:rPr>
        <w:t xml:space="preserve">would still require </w:t>
      </w:r>
      <w:r w:rsidR="004D5F13" w:rsidRPr="00681608">
        <w:rPr>
          <w:rFonts w:ascii="Arial" w:hAnsi="Arial" w:cs="Arial"/>
          <w:sz w:val="20"/>
          <w:szCs w:val="20"/>
          <w:shd w:val="clear" w:color="auto" w:fill="FFFFFF" w:themeFill="background1"/>
        </w:rPr>
        <w:t>more than 100</w:t>
      </w:r>
      <w:r w:rsidRPr="00681608">
        <w:rPr>
          <w:rFonts w:ascii="Arial" w:hAnsi="Arial" w:cs="Arial"/>
          <w:sz w:val="20"/>
          <w:szCs w:val="20"/>
          <w:shd w:val="clear" w:color="auto" w:fill="FFFFFF" w:themeFill="background1"/>
        </w:rPr>
        <w:t xml:space="preserve"> new chargers to be installed every single day. The current</w:t>
      </w:r>
      <w:r w:rsidRPr="00681608">
        <w:rPr>
          <w:rFonts w:ascii="Arial" w:hAnsi="Arial" w:cs="Arial"/>
          <w:b/>
          <w:bCs/>
          <w:sz w:val="20"/>
          <w:szCs w:val="20"/>
          <w:shd w:val="clear" w:color="auto" w:fill="FFFFFF" w:themeFill="background1"/>
        </w:rPr>
        <w:t> </w:t>
      </w:r>
      <w:r w:rsidRPr="00681608">
        <w:rPr>
          <w:rFonts w:ascii="Arial" w:hAnsi="Arial" w:cs="Arial"/>
          <w:sz w:val="20"/>
          <w:szCs w:val="20"/>
          <w:shd w:val="clear" w:color="auto" w:fill="FFFFFF" w:themeFill="background1"/>
        </w:rPr>
        <w:t>rate is around 23 per d</w:t>
      </w:r>
      <w:r w:rsidRPr="0009355E">
        <w:rPr>
          <w:rFonts w:ascii="Arial" w:hAnsi="Arial" w:cs="Arial"/>
          <w:sz w:val="20"/>
          <w:szCs w:val="20"/>
        </w:rPr>
        <w:t>ay</w:t>
      </w:r>
      <w:r w:rsidR="00063D30">
        <w:rPr>
          <w:rFonts w:ascii="Arial" w:hAnsi="Arial" w:cs="Arial"/>
          <w:sz w:val="20"/>
          <w:szCs w:val="20"/>
        </w:rPr>
        <w:t>.</w:t>
      </w:r>
      <w:r w:rsidR="0018669B">
        <w:rPr>
          <w:rFonts w:ascii="Arial" w:hAnsi="Arial" w:cs="Arial"/>
          <w:sz w:val="20"/>
          <w:szCs w:val="20"/>
          <w:vertAlign w:val="superscript"/>
        </w:rPr>
        <w:t>4</w:t>
      </w:r>
      <w:r w:rsidR="00FD6F35">
        <w:rPr>
          <w:rFonts w:ascii="Arial" w:hAnsi="Arial" w:cs="Arial"/>
          <w:sz w:val="20"/>
          <w:szCs w:val="20"/>
          <w:vertAlign w:val="superscript"/>
        </w:rPr>
        <w:t xml:space="preserve"> </w:t>
      </w:r>
    </w:p>
    <w:p w14:paraId="732F458E" w14:textId="77777777" w:rsidR="00F94081" w:rsidRDefault="00F94081" w:rsidP="0009355E">
      <w:pPr>
        <w:pStyle w:val="xmsonormal"/>
        <w:jc w:val="both"/>
        <w:rPr>
          <w:rFonts w:ascii="Arial" w:hAnsi="Arial" w:cs="Arial"/>
          <w:sz w:val="20"/>
          <w:szCs w:val="20"/>
        </w:rPr>
      </w:pPr>
    </w:p>
    <w:p w14:paraId="00914B00" w14:textId="0A34E0C0" w:rsidR="00DF715D" w:rsidRDefault="00E21F73" w:rsidP="00681608">
      <w:pPr>
        <w:pStyle w:val="xmsonormal"/>
        <w:shd w:val="clear" w:color="auto" w:fill="FFFFFF" w:themeFill="background1"/>
        <w:jc w:val="both"/>
        <w:rPr>
          <w:rFonts w:ascii="Arial" w:hAnsi="Arial" w:cs="Arial"/>
          <w:sz w:val="20"/>
          <w:szCs w:val="20"/>
        </w:rPr>
      </w:pPr>
      <w:r>
        <w:rPr>
          <w:rFonts w:ascii="Arial" w:hAnsi="Arial" w:cs="Arial"/>
          <w:sz w:val="20"/>
          <w:szCs w:val="20"/>
        </w:rPr>
        <w:t>M</w:t>
      </w:r>
      <w:r w:rsidR="0009355E" w:rsidRPr="0009355E">
        <w:rPr>
          <w:rFonts w:ascii="Arial" w:hAnsi="Arial" w:cs="Arial"/>
          <w:sz w:val="20"/>
          <w:szCs w:val="20"/>
        </w:rPr>
        <w:t>anufacturers fac</w:t>
      </w:r>
      <w:r>
        <w:rPr>
          <w:rFonts w:ascii="Arial" w:hAnsi="Arial" w:cs="Arial"/>
          <w:sz w:val="20"/>
          <w:szCs w:val="20"/>
        </w:rPr>
        <w:t>e</w:t>
      </w:r>
      <w:r w:rsidR="0009355E" w:rsidRPr="0009355E">
        <w:rPr>
          <w:rFonts w:ascii="Arial" w:hAnsi="Arial" w:cs="Arial"/>
          <w:sz w:val="20"/>
          <w:szCs w:val="20"/>
        </w:rPr>
        <w:t xml:space="preserve"> a Zero Emission Vehicle Mandate from 2024 (the details of which have still not been published)</w:t>
      </w:r>
      <w:r>
        <w:rPr>
          <w:rFonts w:ascii="Arial" w:hAnsi="Arial" w:cs="Arial"/>
          <w:sz w:val="20"/>
          <w:szCs w:val="20"/>
        </w:rPr>
        <w:t>. As a result,</w:t>
      </w:r>
      <w:r w:rsidR="0009355E" w:rsidRPr="0009355E">
        <w:rPr>
          <w:rFonts w:ascii="Arial" w:hAnsi="Arial" w:cs="Arial"/>
          <w:sz w:val="20"/>
          <w:szCs w:val="20"/>
        </w:rPr>
        <w:t xml:space="preserve"> accelerated investment in charging infrastructure is needed if consumers are to be confident they can </w:t>
      </w:r>
      <w:r w:rsidR="0009355E" w:rsidRPr="00681608">
        <w:rPr>
          <w:rFonts w:ascii="Arial" w:hAnsi="Arial" w:cs="Arial"/>
          <w:sz w:val="20"/>
          <w:szCs w:val="20"/>
          <w:shd w:val="clear" w:color="auto" w:fill="FFFFFF" w:themeFill="background1"/>
        </w:rPr>
        <w:t>make the switch and bra</w:t>
      </w:r>
      <w:r w:rsidR="0009355E" w:rsidRPr="0009355E">
        <w:rPr>
          <w:rFonts w:ascii="Arial" w:hAnsi="Arial" w:cs="Arial"/>
          <w:sz w:val="20"/>
          <w:szCs w:val="20"/>
        </w:rPr>
        <w:t>nds are to have a chance of securing sufficient supply to support UK market growth and not lose out to other markets which are investing more rapidly.</w:t>
      </w:r>
      <w:r w:rsidR="00DF715D">
        <w:rPr>
          <w:rFonts w:ascii="Arial" w:hAnsi="Arial" w:cs="Arial"/>
          <w:sz w:val="20"/>
          <w:szCs w:val="20"/>
        </w:rPr>
        <w:t xml:space="preserve"> </w:t>
      </w:r>
      <w:r w:rsidR="00D72DE0">
        <w:rPr>
          <w:rFonts w:ascii="Arial" w:hAnsi="Arial" w:cs="Arial"/>
          <w:sz w:val="20"/>
          <w:szCs w:val="20"/>
        </w:rPr>
        <w:lastRenderedPageBreak/>
        <w:t xml:space="preserve">Last year, </w:t>
      </w:r>
      <w:r w:rsidR="00193417">
        <w:rPr>
          <w:rFonts w:ascii="Arial" w:hAnsi="Arial" w:cs="Arial"/>
          <w:sz w:val="20"/>
          <w:szCs w:val="20"/>
        </w:rPr>
        <w:t xml:space="preserve">Britain </w:t>
      </w:r>
      <w:r>
        <w:rPr>
          <w:rFonts w:ascii="Arial" w:hAnsi="Arial" w:cs="Arial"/>
          <w:sz w:val="20"/>
          <w:szCs w:val="20"/>
        </w:rPr>
        <w:t>reclaimed</w:t>
      </w:r>
      <w:r w:rsidR="00193417">
        <w:rPr>
          <w:rFonts w:ascii="Arial" w:hAnsi="Arial" w:cs="Arial"/>
          <w:sz w:val="20"/>
          <w:szCs w:val="20"/>
        </w:rPr>
        <w:t xml:space="preserve"> its position as </w:t>
      </w:r>
      <w:r w:rsidR="00B057FC">
        <w:rPr>
          <w:rFonts w:ascii="Arial" w:hAnsi="Arial" w:cs="Arial"/>
          <w:sz w:val="20"/>
          <w:szCs w:val="20"/>
        </w:rPr>
        <w:t xml:space="preserve">Europe’s </w:t>
      </w:r>
      <w:r w:rsidR="00193417">
        <w:rPr>
          <w:rFonts w:ascii="Arial" w:hAnsi="Arial" w:cs="Arial"/>
          <w:sz w:val="20"/>
          <w:szCs w:val="20"/>
        </w:rPr>
        <w:t>second largest</w:t>
      </w:r>
      <w:r>
        <w:rPr>
          <w:rFonts w:ascii="Arial" w:hAnsi="Arial" w:cs="Arial"/>
          <w:sz w:val="20"/>
          <w:szCs w:val="20"/>
        </w:rPr>
        <w:t xml:space="preserve"> new car</w:t>
      </w:r>
      <w:r w:rsidR="00193417">
        <w:rPr>
          <w:rFonts w:ascii="Arial" w:hAnsi="Arial" w:cs="Arial"/>
          <w:sz w:val="20"/>
          <w:szCs w:val="20"/>
        </w:rPr>
        <w:t xml:space="preserve"> market</w:t>
      </w:r>
      <w:r w:rsidR="00B057FC">
        <w:rPr>
          <w:rFonts w:ascii="Arial" w:hAnsi="Arial" w:cs="Arial"/>
          <w:sz w:val="20"/>
          <w:szCs w:val="20"/>
        </w:rPr>
        <w:t xml:space="preserve"> </w:t>
      </w:r>
      <w:r w:rsidR="00D72DE0">
        <w:rPr>
          <w:rFonts w:ascii="Arial" w:hAnsi="Arial" w:cs="Arial"/>
          <w:sz w:val="20"/>
          <w:szCs w:val="20"/>
        </w:rPr>
        <w:t>by volume, both overall and, specifically for</w:t>
      </w:r>
      <w:r w:rsidR="00B057FC">
        <w:rPr>
          <w:rFonts w:ascii="Arial" w:hAnsi="Arial" w:cs="Arial"/>
          <w:sz w:val="20"/>
          <w:szCs w:val="20"/>
        </w:rPr>
        <w:t xml:space="preserve"> </w:t>
      </w:r>
      <w:r w:rsidR="00DF715D">
        <w:rPr>
          <w:rFonts w:ascii="Arial" w:hAnsi="Arial" w:cs="Arial"/>
          <w:sz w:val="20"/>
          <w:szCs w:val="20"/>
        </w:rPr>
        <w:t>plug-in cars</w:t>
      </w:r>
      <w:r w:rsidR="00D72DE0">
        <w:rPr>
          <w:rFonts w:ascii="Arial" w:hAnsi="Arial" w:cs="Arial"/>
          <w:sz w:val="20"/>
          <w:szCs w:val="20"/>
        </w:rPr>
        <w:t>.</w:t>
      </w:r>
      <w:r w:rsidR="0018669B">
        <w:rPr>
          <w:rFonts w:ascii="Arial" w:hAnsi="Arial" w:cs="Arial"/>
          <w:sz w:val="20"/>
          <w:szCs w:val="20"/>
          <w:vertAlign w:val="superscript"/>
        </w:rPr>
        <w:t>5</w:t>
      </w:r>
      <w:r w:rsidR="00B057FC">
        <w:rPr>
          <w:rFonts w:ascii="Arial" w:hAnsi="Arial" w:cs="Arial"/>
          <w:sz w:val="20"/>
          <w:szCs w:val="20"/>
        </w:rPr>
        <w:t xml:space="preserve"> However, </w:t>
      </w:r>
      <w:r w:rsidR="00DF715D">
        <w:rPr>
          <w:rFonts w:ascii="Arial" w:hAnsi="Arial" w:cs="Arial"/>
          <w:sz w:val="20"/>
          <w:szCs w:val="20"/>
        </w:rPr>
        <w:t xml:space="preserve">as of the end of Q3 2022, it </w:t>
      </w:r>
      <w:r w:rsidR="00DF715D" w:rsidRPr="0094019D">
        <w:rPr>
          <w:rFonts w:ascii="Arial" w:hAnsi="Arial" w:cs="Arial"/>
          <w:sz w:val="20"/>
          <w:szCs w:val="20"/>
          <w:shd w:val="clear" w:color="auto" w:fill="FFFFFF" w:themeFill="background1"/>
        </w:rPr>
        <w:t>was 13</w:t>
      </w:r>
      <w:r w:rsidR="00DF715D" w:rsidRPr="0094019D">
        <w:rPr>
          <w:rFonts w:ascii="Arial" w:hAnsi="Arial" w:cs="Arial"/>
          <w:sz w:val="20"/>
          <w:szCs w:val="20"/>
          <w:shd w:val="clear" w:color="auto" w:fill="FFFFFF" w:themeFill="background1"/>
          <w:vertAlign w:val="superscript"/>
        </w:rPr>
        <w:t>th</w:t>
      </w:r>
      <w:r w:rsidR="00DF715D" w:rsidRPr="0094019D">
        <w:rPr>
          <w:rFonts w:ascii="Arial" w:hAnsi="Arial" w:cs="Arial"/>
          <w:sz w:val="20"/>
          <w:szCs w:val="20"/>
          <w:shd w:val="clear" w:color="auto" w:fill="FFFFFF" w:themeFill="background1"/>
        </w:rPr>
        <w:t xml:space="preserve"> ove</w:t>
      </w:r>
      <w:r w:rsidR="00DF715D" w:rsidRPr="0094019D">
        <w:rPr>
          <w:rFonts w:ascii="Arial" w:hAnsi="Arial" w:cs="Arial"/>
          <w:sz w:val="20"/>
          <w:szCs w:val="20"/>
        </w:rPr>
        <w:t>rall</w:t>
      </w:r>
      <w:r w:rsidR="00DF715D" w:rsidRPr="0009355E">
        <w:rPr>
          <w:rFonts w:ascii="Arial" w:hAnsi="Arial" w:cs="Arial"/>
          <w:sz w:val="20"/>
          <w:szCs w:val="20"/>
        </w:rPr>
        <w:t xml:space="preserve"> by </w:t>
      </w:r>
      <w:r w:rsidR="00D72DE0">
        <w:rPr>
          <w:rFonts w:ascii="Arial" w:hAnsi="Arial" w:cs="Arial"/>
          <w:sz w:val="20"/>
          <w:szCs w:val="20"/>
        </w:rPr>
        <w:t xml:space="preserve">plug-in </w:t>
      </w:r>
      <w:r w:rsidR="00DF715D" w:rsidRPr="0009355E">
        <w:rPr>
          <w:rFonts w:ascii="Arial" w:hAnsi="Arial" w:cs="Arial"/>
          <w:sz w:val="20"/>
          <w:szCs w:val="20"/>
        </w:rPr>
        <w:t xml:space="preserve">market share, behind markets </w:t>
      </w:r>
      <w:r w:rsidR="00063D30">
        <w:rPr>
          <w:rFonts w:ascii="Arial" w:hAnsi="Arial" w:cs="Arial"/>
          <w:sz w:val="20"/>
          <w:szCs w:val="20"/>
        </w:rPr>
        <w:t>including</w:t>
      </w:r>
      <w:r w:rsidR="00DF715D" w:rsidRPr="0009355E">
        <w:rPr>
          <w:rFonts w:ascii="Arial" w:hAnsi="Arial" w:cs="Arial"/>
          <w:sz w:val="20"/>
          <w:szCs w:val="20"/>
        </w:rPr>
        <w:t xml:space="preserve"> </w:t>
      </w:r>
      <w:r w:rsidR="00DF715D" w:rsidRPr="00681608">
        <w:rPr>
          <w:rFonts w:ascii="Arial" w:hAnsi="Arial" w:cs="Arial"/>
          <w:sz w:val="20"/>
          <w:szCs w:val="20"/>
          <w:shd w:val="clear" w:color="auto" w:fill="FFFFFF" w:themeFill="background1"/>
        </w:rPr>
        <w:t xml:space="preserve">Norway (78.3%), the Netherlands (28.7%) and Germany (23.5%). </w:t>
      </w:r>
      <w:r w:rsidR="0018669B" w:rsidRPr="00681608">
        <w:rPr>
          <w:rFonts w:ascii="Arial" w:hAnsi="Arial" w:cs="Arial"/>
          <w:sz w:val="20"/>
          <w:szCs w:val="20"/>
          <w:vertAlign w:val="superscript"/>
        </w:rPr>
        <w:t>6</w:t>
      </w:r>
    </w:p>
    <w:p w14:paraId="36A312AE" w14:textId="60F6EAE9" w:rsidR="00193417" w:rsidRDefault="00193417" w:rsidP="0009355E">
      <w:pPr>
        <w:pStyle w:val="xmsonormal"/>
        <w:jc w:val="both"/>
        <w:rPr>
          <w:rFonts w:ascii="Arial" w:hAnsi="Arial" w:cs="Arial"/>
          <w:sz w:val="20"/>
          <w:szCs w:val="20"/>
        </w:rPr>
      </w:pPr>
    </w:p>
    <w:p w14:paraId="3F50E2A3" w14:textId="0982814A" w:rsidR="0034137E" w:rsidRDefault="0009355E" w:rsidP="0009355E">
      <w:pPr>
        <w:pStyle w:val="xmsonormal"/>
        <w:jc w:val="both"/>
        <w:rPr>
          <w:rFonts w:ascii="Arial" w:hAnsi="Arial" w:cs="Arial"/>
          <w:sz w:val="20"/>
          <w:szCs w:val="20"/>
        </w:rPr>
      </w:pPr>
      <w:r w:rsidRPr="0009355E">
        <w:rPr>
          <w:rFonts w:ascii="Arial" w:hAnsi="Arial" w:cs="Arial"/>
          <w:b/>
          <w:bCs/>
          <w:sz w:val="20"/>
          <w:szCs w:val="20"/>
        </w:rPr>
        <w:t>Mike Hawes, SMMT Chief Executive,</w:t>
      </w:r>
      <w:r w:rsidRPr="0009355E">
        <w:rPr>
          <w:rFonts w:ascii="Arial" w:hAnsi="Arial" w:cs="Arial"/>
          <w:sz w:val="20"/>
          <w:szCs w:val="20"/>
        </w:rPr>
        <w:t xml:space="preserve"> said, “The automotive market remains adrift of its pre-pandemic performance but could well buck wider economic trends by delivering significant growth in 2023</w:t>
      </w:r>
      <w:r w:rsidR="00D56DF4">
        <w:rPr>
          <w:rFonts w:ascii="Arial" w:hAnsi="Arial" w:cs="Arial"/>
          <w:sz w:val="20"/>
          <w:szCs w:val="20"/>
        </w:rPr>
        <w:t>.</w:t>
      </w:r>
      <w:r w:rsidRPr="0009355E">
        <w:rPr>
          <w:rFonts w:ascii="Arial" w:hAnsi="Arial" w:cs="Arial"/>
          <w:sz w:val="20"/>
          <w:szCs w:val="20"/>
        </w:rPr>
        <w:t xml:space="preserve"> To secure that growth </w:t>
      </w:r>
      <w:r w:rsidR="00D56DF4">
        <w:rPr>
          <w:lang w:val="en-US"/>
        </w:rPr>
        <w:t>–</w:t>
      </w:r>
      <w:r w:rsidRPr="0009355E">
        <w:rPr>
          <w:rFonts w:ascii="Arial" w:hAnsi="Arial" w:cs="Arial"/>
          <w:sz w:val="20"/>
          <w:szCs w:val="20"/>
        </w:rPr>
        <w:t xml:space="preserve"> which is increasingly zero emission growth </w:t>
      </w:r>
      <w:r w:rsidR="00D56DF4">
        <w:rPr>
          <w:lang w:val="en-US"/>
        </w:rPr>
        <w:t>–</w:t>
      </w:r>
      <w:r w:rsidRPr="0009355E">
        <w:rPr>
          <w:rFonts w:ascii="Arial" w:hAnsi="Arial" w:cs="Arial"/>
          <w:sz w:val="20"/>
          <w:szCs w:val="20"/>
        </w:rPr>
        <w:t xml:space="preserve"> government must help all drivers go electric and compel others to invest more rapidly in nationwide charging infrastructure. </w:t>
      </w:r>
      <w:r w:rsidR="0034137E">
        <w:rPr>
          <w:rFonts w:ascii="Arial" w:hAnsi="Arial" w:cs="Arial"/>
          <w:sz w:val="20"/>
          <w:szCs w:val="20"/>
        </w:rPr>
        <w:t>Manufacturers</w:t>
      </w:r>
      <w:r w:rsidR="00C9275B">
        <w:rPr>
          <w:rFonts w:ascii="Arial" w:hAnsi="Arial" w:cs="Arial"/>
          <w:sz w:val="20"/>
          <w:szCs w:val="20"/>
        </w:rPr>
        <w:t>’</w:t>
      </w:r>
      <w:r w:rsidR="0034137E">
        <w:rPr>
          <w:rFonts w:ascii="Arial" w:hAnsi="Arial" w:cs="Arial"/>
          <w:sz w:val="20"/>
          <w:szCs w:val="20"/>
        </w:rPr>
        <w:t xml:space="preserve"> innovation and commitment have helped EVs become the second most popular car type.</w:t>
      </w:r>
      <w:r w:rsidR="00F074B4">
        <w:rPr>
          <w:rFonts w:ascii="Arial" w:hAnsi="Arial" w:cs="Arial"/>
          <w:sz w:val="20"/>
          <w:szCs w:val="20"/>
        </w:rPr>
        <w:t xml:space="preserve"> However, for a nation aiming for electric mobility leadership, </w:t>
      </w:r>
      <w:r w:rsidR="00C9275B">
        <w:rPr>
          <w:rFonts w:ascii="Arial" w:hAnsi="Arial" w:cs="Arial"/>
          <w:sz w:val="20"/>
          <w:szCs w:val="20"/>
        </w:rPr>
        <w:t xml:space="preserve">that must be matched with </w:t>
      </w:r>
      <w:r w:rsidR="00D72DE0">
        <w:rPr>
          <w:rFonts w:ascii="Arial" w:hAnsi="Arial" w:cs="Arial"/>
          <w:sz w:val="20"/>
          <w:szCs w:val="20"/>
        </w:rPr>
        <w:t>policies and investment</w:t>
      </w:r>
      <w:r w:rsidR="00C9275B">
        <w:rPr>
          <w:rFonts w:ascii="Arial" w:hAnsi="Arial" w:cs="Arial"/>
          <w:sz w:val="20"/>
          <w:szCs w:val="20"/>
        </w:rPr>
        <w:t xml:space="preserve"> that </w:t>
      </w:r>
      <w:r w:rsidR="00BA14BC">
        <w:rPr>
          <w:rFonts w:ascii="Arial" w:hAnsi="Arial" w:cs="Arial"/>
          <w:sz w:val="20"/>
          <w:szCs w:val="20"/>
        </w:rPr>
        <w:t>remove consumer uncertainty over switching, not least o</w:t>
      </w:r>
      <w:r w:rsidR="00506807">
        <w:rPr>
          <w:rFonts w:ascii="Arial" w:hAnsi="Arial" w:cs="Arial"/>
          <w:sz w:val="20"/>
          <w:szCs w:val="20"/>
        </w:rPr>
        <w:t>ver</w:t>
      </w:r>
      <w:r w:rsidR="00BA14BC">
        <w:rPr>
          <w:rFonts w:ascii="Arial" w:hAnsi="Arial" w:cs="Arial"/>
          <w:sz w:val="20"/>
          <w:szCs w:val="20"/>
        </w:rPr>
        <w:t xml:space="preserve"> where drivers can charge their vehicles.”</w:t>
      </w:r>
    </w:p>
    <w:p w14:paraId="33425F46" w14:textId="144DE0CA" w:rsidR="00782D10" w:rsidRDefault="00782D10" w:rsidP="0009355E">
      <w:pPr>
        <w:pStyle w:val="xmsonormal"/>
        <w:jc w:val="both"/>
        <w:rPr>
          <w:rFonts w:ascii="Arial" w:hAnsi="Arial" w:cs="Arial"/>
          <w:sz w:val="20"/>
          <w:szCs w:val="20"/>
        </w:rPr>
      </w:pPr>
    </w:p>
    <w:p w14:paraId="2A7E7536" w14:textId="5A1B172F" w:rsidR="00782D10" w:rsidRDefault="00763ABE" w:rsidP="00681608">
      <w:pPr>
        <w:pStyle w:val="xmsonormal"/>
        <w:shd w:val="clear" w:color="auto" w:fill="FFFFFF" w:themeFill="background1"/>
        <w:jc w:val="both"/>
        <w:rPr>
          <w:rFonts w:ascii="Arial" w:hAnsi="Arial" w:cs="Arial"/>
          <w:sz w:val="20"/>
          <w:szCs w:val="20"/>
          <w:vertAlign w:val="superscript"/>
        </w:rPr>
      </w:pPr>
      <w:r>
        <w:rPr>
          <w:rFonts w:ascii="Arial" w:hAnsi="Arial" w:cs="Arial"/>
          <w:sz w:val="20"/>
          <w:szCs w:val="20"/>
        </w:rPr>
        <w:t>Looking ahead, s</w:t>
      </w:r>
      <w:r w:rsidR="00782D10" w:rsidRPr="0009355E">
        <w:rPr>
          <w:rFonts w:ascii="Arial" w:hAnsi="Arial" w:cs="Arial"/>
          <w:sz w:val="20"/>
          <w:szCs w:val="20"/>
        </w:rPr>
        <w:t>upply chains are beginning to stabilise and although the shortage</w:t>
      </w:r>
      <w:r w:rsidR="00782D10">
        <w:rPr>
          <w:rFonts w:ascii="Arial" w:hAnsi="Arial" w:cs="Arial"/>
          <w:sz w:val="20"/>
          <w:szCs w:val="20"/>
        </w:rPr>
        <w:t xml:space="preserve"> </w:t>
      </w:r>
      <w:r w:rsidR="00782D10" w:rsidRPr="0009355E">
        <w:rPr>
          <w:rFonts w:ascii="Arial" w:hAnsi="Arial" w:cs="Arial"/>
          <w:sz w:val="20"/>
          <w:szCs w:val="20"/>
        </w:rPr>
        <w:t xml:space="preserve">of semiconductors is </w:t>
      </w:r>
      <w:r w:rsidR="00782D10" w:rsidRPr="00681608">
        <w:rPr>
          <w:rFonts w:ascii="Arial" w:hAnsi="Arial" w:cs="Arial"/>
          <w:sz w:val="20"/>
          <w:szCs w:val="20"/>
        </w:rPr>
        <w:t xml:space="preserve">expected to ease, erratic supply will likely impact manufacturing throughout 2023. The most recent market outlook, published in October 2022, anticipates </w:t>
      </w:r>
      <w:r w:rsidR="00782D10" w:rsidRPr="00681608">
        <w:rPr>
          <w:rFonts w:ascii="Arial" w:hAnsi="Arial" w:cs="Arial"/>
          <w:sz w:val="20"/>
          <w:szCs w:val="20"/>
          <w:shd w:val="clear" w:color="auto" w:fill="FFFFFF" w:themeFill="background1"/>
        </w:rPr>
        <w:t>around 1.8 million new</w:t>
      </w:r>
      <w:r w:rsidR="00782D10" w:rsidRPr="00681608">
        <w:rPr>
          <w:rFonts w:ascii="Arial" w:hAnsi="Arial" w:cs="Arial"/>
          <w:sz w:val="20"/>
          <w:szCs w:val="20"/>
        </w:rPr>
        <w:t xml:space="preserve"> car registrations in 2023, worth around £</w:t>
      </w:r>
      <w:r w:rsidR="00BA14BC" w:rsidRPr="00681608">
        <w:rPr>
          <w:rFonts w:ascii="Arial" w:hAnsi="Arial" w:cs="Arial"/>
          <w:sz w:val="20"/>
          <w:szCs w:val="20"/>
        </w:rPr>
        <w:t>8.4</w:t>
      </w:r>
      <w:r w:rsidR="00A23023">
        <w:rPr>
          <w:rFonts w:ascii="Arial" w:hAnsi="Arial" w:cs="Arial"/>
          <w:sz w:val="20"/>
          <w:szCs w:val="20"/>
        </w:rPr>
        <w:t xml:space="preserve"> </w:t>
      </w:r>
      <w:r w:rsidR="00782D10" w:rsidRPr="00681608">
        <w:rPr>
          <w:rFonts w:ascii="Arial" w:hAnsi="Arial" w:cs="Arial"/>
          <w:sz w:val="20"/>
          <w:szCs w:val="20"/>
        </w:rPr>
        <w:t>billion in additional turnover.</w:t>
      </w:r>
      <w:r w:rsidR="0018669B" w:rsidRPr="00681608">
        <w:rPr>
          <w:rFonts w:ascii="Arial" w:hAnsi="Arial" w:cs="Arial"/>
          <w:sz w:val="20"/>
          <w:szCs w:val="20"/>
          <w:vertAlign w:val="superscript"/>
        </w:rPr>
        <w:t>7</w:t>
      </w:r>
    </w:p>
    <w:p w14:paraId="0AB56F7E" w14:textId="77777777" w:rsidR="00782D10" w:rsidRPr="0009355E" w:rsidRDefault="00782D10" w:rsidP="0009355E">
      <w:pPr>
        <w:pStyle w:val="xmsonormal"/>
        <w:jc w:val="both"/>
        <w:rPr>
          <w:rFonts w:ascii="Arial" w:hAnsi="Arial" w:cs="Arial"/>
          <w:sz w:val="20"/>
          <w:szCs w:val="20"/>
        </w:rPr>
      </w:pPr>
    </w:p>
    <w:p w14:paraId="1F411F61" w14:textId="40402539" w:rsidR="00FF357B" w:rsidRDefault="00FC07C0" w:rsidP="00FC07C0">
      <w:pPr>
        <w:spacing w:after="0" w:line="276" w:lineRule="auto"/>
        <w:jc w:val="center"/>
        <w:rPr>
          <w:rFonts w:eastAsia="Calibri"/>
          <w:b/>
          <w:bCs w:val="0"/>
          <w:color w:val="1074CB"/>
          <w:sz w:val="16"/>
          <w:szCs w:val="16"/>
          <w:u w:val="single"/>
        </w:rPr>
      </w:pPr>
      <w:r>
        <w:rPr>
          <w:noProof/>
        </w:rPr>
        <w:drawing>
          <wp:inline distT="0" distB="0" distL="0" distR="0" wp14:anchorId="04992581" wp14:editId="1356F2B2">
            <wp:extent cx="4933950" cy="579120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33950" cy="5791200"/>
                    </a:xfrm>
                    <a:prstGeom prst="rect">
                      <a:avLst/>
                    </a:prstGeom>
                    <a:noFill/>
                    <a:ln>
                      <a:noFill/>
                    </a:ln>
                  </pic:spPr>
                </pic:pic>
              </a:graphicData>
            </a:graphic>
          </wp:inline>
        </w:drawing>
      </w:r>
    </w:p>
    <w:p w14:paraId="77E0CCA0" w14:textId="1639F207" w:rsidR="00FC07C0" w:rsidRDefault="00FC07C0" w:rsidP="00FC07C0">
      <w:pPr>
        <w:spacing w:after="0" w:line="276" w:lineRule="auto"/>
        <w:jc w:val="center"/>
        <w:rPr>
          <w:rFonts w:eastAsia="Calibri"/>
          <w:b/>
          <w:bCs w:val="0"/>
          <w:color w:val="1074CB"/>
          <w:sz w:val="16"/>
          <w:szCs w:val="16"/>
          <w:u w:val="single"/>
        </w:rPr>
      </w:pPr>
      <w:r>
        <w:rPr>
          <w:noProof/>
        </w:rPr>
        <w:lastRenderedPageBreak/>
        <w:drawing>
          <wp:inline distT="0" distB="0" distL="0" distR="0" wp14:anchorId="65D046F9" wp14:editId="033F8B02">
            <wp:extent cx="4981575" cy="3438525"/>
            <wp:effectExtent l="0" t="0" r="9525" b="9525"/>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81575" cy="3438525"/>
                    </a:xfrm>
                    <a:prstGeom prst="rect">
                      <a:avLst/>
                    </a:prstGeom>
                    <a:noFill/>
                    <a:ln>
                      <a:noFill/>
                    </a:ln>
                  </pic:spPr>
                </pic:pic>
              </a:graphicData>
            </a:graphic>
          </wp:inline>
        </w:drawing>
      </w:r>
    </w:p>
    <w:p w14:paraId="4806C538" w14:textId="77777777" w:rsidR="00FC07C0" w:rsidRDefault="00FC07C0" w:rsidP="00FC07C0">
      <w:pPr>
        <w:spacing w:after="0" w:line="276" w:lineRule="auto"/>
        <w:jc w:val="center"/>
        <w:rPr>
          <w:rFonts w:eastAsia="Calibri"/>
          <w:b/>
          <w:bCs w:val="0"/>
          <w:color w:val="1074CB"/>
          <w:sz w:val="16"/>
          <w:szCs w:val="16"/>
          <w:u w:val="single"/>
        </w:rPr>
      </w:pPr>
    </w:p>
    <w:p w14:paraId="3A13F34E" w14:textId="5A76219B" w:rsidR="00FC07C0" w:rsidRDefault="00FC07C0" w:rsidP="00FC07C0">
      <w:pPr>
        <w:spacing w:after="0" w:line="276" w:lineRule="auto"/>
        <w:jc w:val="center"/>
        <w:rPr>
          <w:rFonts w:eastAsia="Calibri"/>
          <w:b/>
          <w:bCs w:val="0"/>
          <w:color w:val="1074CB"/>
          <w:sz w:val="16"/>
          <w:szCs w:val="16"/>
          <w:u w:val="single"/>
        </w:rPr>
      </w:pPr>
      <w:r>
        <w:rPr>
          <w:noProof/>
        </w:rPr>
        <w:drawing>
          <wp:inline distT="0" distB="0" distL="0" distR="0" wp14:anchorId="5C6C91C6" wp14:editId="0E6AFE72">
            <wp:extent cx="5731510" cy="3588385"/>
            <wp:effectExtent l="0" t="0" r="2540" b="0"/>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88385"/>
                    </a:xfrm>
                    <a:prstGeom prst="rect">
                      <a:avLst/>
                    </a:prstGeom>
                    <a:noFill/>
                    <a:ln>
                      <a:noFill/>
                    </a:ln>
                  </pic:spPr>
                </pic:pic>
              </a:graphicData>
            </a:graphic>
          </wp:inline>
        </w:drawing>
      </w:r>
    </w:p>
    <w:p w14:paraId="00F41473" w14:textId="1D2E94D3" w:rsidR="00DC360A" w:rsidRDefault="00DC360A" w:rsidP="00FC07C0">
      <w:pPr>
        <w:spacing w:after="0" w:line="276" w:lineRule="auto"/>
        <w:jc w:val="center"/>
        <w:rPr>
          <w:rFonts w:eastAsia="Calibri"/>
          <w:b/>
          <w:bCs w:val="0"/>
          <w:color w:val="1074CB"/>
          <w:sz w:val="16"/>
          <w:szCs w:val="16"/>
          <w:u w:val="single"/>
        </w:rPr>
      </w:pPr>
    </w:p>
    <w:p w14:paraId="60D20D20" w14:textId="754E753D" w:rsidR="00DC360A" w:rsidRDefault="00DC360A" w:rsidP="00FC07C0">
      <w:pPr>
        <w:spacing w:after="0" w:line="276" w:lineRule="auto"/>
        <w:jc w:val="center"/>
        <w:rPr>
          <w:rFonts w:eastAsia="Calibri"/>
          <w:b/>
          <w:bCs w:val="0"/>
          <w:color w:val="1074CB"/>
          <w:sz w:val="16"/>
          <w:szCs w:val="16"/>
          <w:u w:val="single"/>
        </w:rPr>
      </w:pPr>
    </w:p>
    <w:p w14:paraId="5DF4A596" w14:textId="319C5980" w:rsidR="00DC360A" w:rsidRDefault="00C9224A" w:rsidP="00FC07C0">
      <w:pPr>
        <w:spacing w:after="0" w:line="276" w:lineRule="auto"/>
        <w:jc w:val="center"/>
        <w:rPr>
          <w:rFonts w:eastAsia="Calibri"/>
          <w:b/>
          <w:bCs w:val="0"/>
          <w:color w:val="1074CB"/>
          <w:sz w:val="16"/>
          <w:szCs w:val="16"/>
          <w:u w:val="single"/>
        </w:rPr>
      </w:pPr>
      <w:r>
        <w:rPr>
          <w:noProof/>
        </w:rPr>
        <w:lastRenderedPageBreak/>
        <w:drawing>
          <wp:inline distT="0" distB="0" distL="0" distR="0" wp14:anchorId="38289670" wp14:editId="2931A061">
            <wp:extent cx="5731510" cy="2672715"/>
            <wp:effectExtent l="0" t="0" r="254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2672715"/>
                    </a:xfrm>
                    <a:prstGeom prst="rect">
                      <a:avLst/>
                    </a:prstGeom>
                    <a:noFill/>
                    <a:ln>
                      <a:noFill/>
                    </a:ln>
                  </pic:spPr>
                </pic:pic>
              </a:graphicData>
            </a:graphic>
          </wp:inline>
        </w:drawing>
      </w:r>
    </w:p>
    <w:p w14:paraId="32CD8BC7" w14:textId="12781435" w:rsidR="00FC07C0" w:rsidRDefault="00FC07C0" w:rsidP="00FC07C0">
      <w:pPr>
        <w:spacing w:after="0" w:line="276" w:lineRule="auto"/>
        <w:jc w:val="center"/>
        <w:rPr>
          <w:rFonts w:eastAsia="Calibri"/>
          <w:b/>
          <w:bCs w:val="0"/>
          <w:color w:val="1074CB"/>
          <w:sz w:val="16"/>
          <w:szCs w:val="16"/>
          <w:u w:val="single"/>
        </w:rPr>
      </w:pPr>
    </w:p>
    <w:p w14:paraId="23ABF099" w14:textId="77777777" w:rsidR="00FC07C0" w:rsidRDefault="00FC07C0" w:rsidP="00FC07C0">
      <w:pPr>
        <w:spacing w:after="0" w:line="276" w:lineRule="auto"/>
        <w:jc w:val="center"/>
        <w:rPr>
          <w:rFonts w:eastAsia="Calibri"/>
          <w:b/>
          <w:bCs w:val="0"/>
          <w:color w:val="1074CB"/>
          <w:sz w:val="16"/>
          <w:szCs w:val="16"/>
          <w:u w:val="single"/>
        </w:rPr>
      </w:pPr>
    </w:p>
    <w:p w14:paraId="43619D45" w14:textId="69F67D4F" w:rsidR="00FC07C0" w:rsidRDefault="00C9224A" w:rsidP="00C9224A">
      <w:pPr>
        <w:spacing w:after="0" w:line="276" w:lineRule="auto"/>
        <w:jc w:val="center"/>
        <w:rPr>
          <w:rFonts w:eastAsia="Calibri"/>
          <w:b/>
          <w:bCs w:val="0"/>
          <w:color w:val="1074CB"/>
          <w:sz w:val="16"/>
          <w:szCs w:val="16"/>
          <w:u w:val="single"/>
        </w:rPr>
      </w:pPr>
      <w:r>
        <w:rPr>
          <w:noProof/>
        </w:rPr>
        <w:drawing>
          <wp:inline distT="0" distB="0" distL="0" distR="0" wp14:anchorId="7B31CCA5" wp14:editId="158D4D71">
            <wp:extent cx="3019425" cy="2596597"/>
            <wp:effectExtent l="0" t="0" r="0" b="0"/>
            <wp:docPr id="8" name="Picture 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1163" cy="2606691"/>
                    </a:xfrm>
                    <a:prstGeom prst="rect">
                      <a:avLst/>
                    </a:prstGeom>
                    <a:noFill/>
                    <a:ln>
                      <a:noFill/>
                    </a:ln>
                  </pic:spPr>
                </pic:pic>
              </a:graphicData>
            </a:graphic>
          </wp:inline>
        </w:drawing>
      </w:r>
    </w:p>
    <w:p w14:paraId="01D2EDBB" w14:textId="77777777" w:rsidR="00FC07C0" w:rsidRDefault="00FC07C0" w:rsidP="005327F8">
      <w:pPr>
        <w:spacing w:after="0" w:line="276" w:lineRule="auto"/>
        <w:jc w:val="both"/>
        <w:rPr>
          <w:rFonts w:eastAsia="Calibri"/>
          <w:b/>
          <w:bCs w:val="0"/>
          <w:color w:val="1074CB"/>
          <w:sz w:val="16"/>
          <w:szCs w:val="16"/>
          <w:u w:val="single"/>
        </w:rPr>
      </w:pPr>
    </w:p>
    <w:p w14:paraId="787A4A47" w14:textId="4BBFFC5B" w:rsidR="005327F8" w:rsidRDefault="005327F8" w:rsidP="005327F8">
      <w:pPr>
        <w:spacing w:after="0" w:line="276" w:lineRule="auto"/>
        <w:jc w:val="both"/>
        <w:rPr>
          <w:rFonts w:eastAsia="Calibri"/>
          <w:b/>
          <w:bCs w:val="0"/>
          <w:color w:val="1074CB"/>
          <w:sz w:val="16"/>
          <w:szCs w:val="16"/>
          <w:u w:val="single"/>
        </w:rPr>
      </w:pPr>
      <w:r>
        <w:rPr>
          <w:rFonts w:eastAsia="Calibri"/>
          <w:b/>
          <w:bCs w:val="0"/>
          <w:color w:val="1074CB"/>
          <w:sz w:val="16"/>
          <w:szCs w:val="16"/>
          <w:u w:val="single"/>
        </w:rPr>
        <w:t>Notes to editors</w:t>
      </w:r>
    </w:p>
    <w:p w14:paraId="3D0BFB3B" w14:textId="77777777" w:rsidR="00924EC1" w:rsidRPr="00B47D39" w:rsidRDefault="00924EC1" w:rsidP="00924EC1">
      <w:pPr>
        <w:spacing w:after="0" w:line="276" w:lineRule="auto"/>
        <w:jc w:val="both"/>
        <w:rPr>
          <w:rFonts w:eastAsia="Calibri"/>
          <w:color w:val="1074CB"/>
          <w:sz w:val="16"/>
          <w:szCs w:val="16"/>
        </w:rPr>
      </w:pPr>
      <w:r>
        <w:rPr>
          <w:rFonts w:eastAsia="Calibri"/>
          <w:color w:val="1074CB"/>
          <w:sz w:val="16"/>
          <w:szCs w:val="16"/>
        </w:rPr>
        <w:t>1</w:t>
      </w:r>
      <w:r w:rsidRPr="00B47D39">
        <w:rPr>
          <w:rFonts w:eastAsia="Calibri"/>
          <w:color w:val="1074CB"/>
          <w:sz w:val="16"/>
          <w:szCs w:val="16"/>
        </w:rPr>
        <w:t xml:space="preserve"> 2019 new car registrations</w:t>
      </w:r>
      <w:r w:rsidRPr="00681608">
        <w:rPr>
          <w:rFonts w:eastAsia="Calibri"/>
          <w:color w:val="1074CB"/>
          <w:sz w:val="16"/>
          <w:szCs w:val="16"/>
          <w:shd w:val="clear" w:color="auto" w:fill="FFFFFF" w:themeFill="background1"/>
        </w:rPr>
        <w:t>: 2,311,140</w:t>
      </w:r>
    </w:p>
    <w:p w14:paraId="65B10554" w14:textId="742A8A3E" w:rsidR="00094FA1" w:rsidRDefault="00924EC1" w:rsidP="00094FA1">
      <w:pPr>
        <w:spacing w:after="0" w:line="276" w:lineRule="auto"/>
        <w:jc w:val="both"/>
        <w:rPr>
          <w:rFonts w:eastAsia="Calibri"/>
          <w:color w:val="1074CB"/>
          <w:sz w:val="16"/>
          <w:szCs w:val="16"/>
        </w:rPr>
      </w:pPr>
      <w:r>
        <w:rPr>
          <w:rFonts w:eastAsia="Calibri"/>
          <w:color w:val="1074CB"/>
          <w:sz w:val="16"/>
          <w:szCs w:val="16"/>
        </w:rPr>
        <w:t>2</w:t>
      </w:r>
      <w:r w:rsidR="00094FA1">
        <w:rPr>
          <w:rFonts w:eastAsia="Calibri"/>
          <w:color w:val="1074CB"/>
          <w:sz w:val="16"/>
          <w:szCs w:val="16"/>
        </w:rPr>
        <w:t xml:space="preserve"> 2020 </w:t>
      </w:r>
      <w:r w:rsidR="0044670D">
        <w:rPr>
          <w:rFonts w:eastAsia="Calibri"/>
          <w:color w:val="1074CB"/>
          <w:sz w:val="16"/>
          <w:szCs w:val="16"/>
        </w:rPr>
        <w:t>market share</w:t>
      </w:r>
      <w:r w:rsidR="00094FA1">
        <w:rPr>
          <w:rFonts w:eastAsia="Calibri"/>
          <w:color w:val="1074CB"/>
          <w:sz w:val="16"/>
          <w:szCs w:val="16"/>
        </w:rPr>
        <w:t>:</w:t>
      </w:r>
      <w:r w:rsidR="00EF1B6D">
        <w:rPr>
          <w:rFonts w:eastAsia="Calibri"/>
          <w:color w:val="1074CB"/>
          <w:sz w:val="16"/>
          <w:szCs w:val="16"/>
        </w:rPr>
        <w:t xml:space="preserve"> 10.7%;</w:t>
      </w:r>
      <w:r w:rsidR="00094FA1">
        <w:rPr>
          <w:rFonts w:eastAsia="Calibri"/>
          <w:color w:val="1074CB"/>
          <w:sz w:val="16"/>
          <w:szCs w:val="16"/>
        </w:rPr>
        <w:t xml:space="preserve"> 2021 </w:t>
      </w:r>
      <w:r w:rsidR="0044670D">
        <w:rPr>
          <w:rFonts w:eastAsia="Calibri"/>
          <w:color w:val="1074CB"/>
          <w:sz w:val="16"/>
          <w:szCs w:val="16"/>
        </w:rPr>
        <w:t>market share</w:t>
      </w:r>
      <w:r w:rsidR="00094FA1">
        <w:rPr>
          <w:rFonts w:eastAsia="Calibri"/>
          <w:color w:val="1074CB"/>
          <w:sz w:val="16"/>
          <w:szCs w:val="16"/>
        </w:rPr>
        <w:t xml:space="preserve">: </w:t>
      </w:r>
      <w:r w:rsidR="007D35C8">
        <w:rPr>
          <w:rFonts w:eastAsia="Calibri"/>
          <w:color w:val="1074CB"/>
          <w:sz w:val="16"/>
          <w:szCs w:val="16"/>
        </w:rPr>
        <w:t>18.6%;</w:t>
      </w:r>
    </w:p>
    <w:p w14:paraId="0375FAC9" w14:textId="6EA6B7B1" w:rsidR="00094FA1" w:rsidRDefault="00924EC1" w:rsidP="00094FA1">
      <w:pPr>
        <w:spacing w:after="0" w:line="276" w:lineRule="auto"/>
        <w:jc w:val="both"/>
        <w:rPr>
          <w:rFonts w:eastAsia="Calibri"/>
          <w:color w:val="1074CB"/>
          <w:sz w:val="16"/>
          <w:szCs w:val="16"/>
        </w:rPr>
      </w:pPr>
      <w:r>
        <w:rPr>
          <w:rFonts w:eastAsia="Calibri"/>
          <w:color w:val="1074CB"/>
          <w:sz w:val="16"/>
          <w:szCs w:val="16"/>
        </w:rPr>
        <w:t>3</w:t>
      </w:r>
      <w:r w:rsidR="00094FA1">
        <w:rPr>
          <w:rFonts w:eastAsia="Calibri"/>
          <w:color w:val="1074CB"/>
          <w:sz w:val="16"/>
          <w:szCs w:val="16"/>
        </w:rPr>
        <w:t xml:space="preserve"> </w:t>
      </w:r>
      <w:r w:rsidR="00094FA1" w:rsidRPr="00B47D39">
        <w:rPr>
          <w:rFonts w:eastAsia="Calibri"/>
          <w:color w:val="1074CB"/>
          <w:sz w:val="16"/>
          <w:szCs w:val="16"/>
        </w:rPr>
        <w:t>SMMT research comparing registrations with retail prices recorded by Auto Express</w:t>
      </w:r>
    </w:p>
    <w:p w14:paraId="7C91335D" w14:textId="2FF41C83" w:rsidR="00924EC1" w:rsidRPr="00B47D39" w:rsidRDefault="00924EC1" w:rsidP="00924EC1">
      <w:pPr>
        <w:spacing w:after="0" w:line="276" w:lineRule="auto"/>
        <w:jc w:val="both"/>
        <w:rPr>
          <w:rFonts w:eastAsia="Calibri"/>
          <w:color w:val="1074CB"/>
          <w:sz w:val="16"/>
          <w:szCs w:val="16"/>
          <w:u w:val="single"/>
        </w:rPr>
      </w:pPr>
      <w:r>
        <w:rPr>
          <w:rFonts w:eastAsia="Calibri"/>
          <w:color w:val="1074CB"/>
          <w:sz w:val="16"/>
          <w:szCs w:val="16"/>
        </w:rPr>
        <w:t>4 Based on 263,000 chargers to be installed 1 Jan 2023 to 31 Dec 2029 inclusive; based on 6,262 chargers installed 1 Jan 2022 to 31 September 2022 inclusive</w:t>
      </w:r>
    </w:p>
    <w:p w14:paraId="37685541" w14:textId="08741BD0" w:rsidR="00446B49" w:rsidRPr="00B47D39" w:rsidRDefault="00CE205E" w:rsidP="005327F8">
      <w:pPr>
        <w:spacing w:after="0" w:line="276" w:lineRule="auto"/>
        <w:jc w:val="both"/>
        <w:rPr>
          <w:rFonts w:eastAsia="Calibri"/>
          <w:color w:val="1074CB"/>
          <w:sz w:val="16"/>
          <w:szCs w:val="16"/>
        </w:rPr>
      </w:pPr>
      <w:hyperlink r:id="rId13" w:history="1">
        <w:r w:rsidR="00924EC1">
          <w:rPr>
            <w:rStyle w:val="Hyperlink"/>
            <w:rFonts w:eastAsia="Calibri"/>
            <w:sz w:val="16"/>
            <w:szCs w:val="16"/>
            <w:u w:val="none"/>
          </w:rPr>
          <w:t>5 A</w:t>
        </w:r>
        <w:r w:rsidR="00446B49" w:rsidRPr="00B47D39">
          <w:rPr>
            <w:rStyle w:val="Hyperlink"/>
            <w:rFonts w:eastAsia="Calibri"/>
            <w:sz w:val="16"/>
            <w:szCs w:val="16"/>
            <w:u w:val="none"/>
          </w:rPr>
          <w:t xml:space="preserve">CEA: </w:t>
        </w:r>
        <w:r w:rsidR="00446B49" w:rsidRPr="00B47D39">
          <w:rPr>
            <w:rStyle w:val="Hyperlink"/>
            <w:rFonts w:eastAsia="Calibri"/>
            <w:sz w:val="16"/>
            <w:szCs w:val="16"/>
          </w:rPr>
          <w:t>New passenger car registrations November 2022</w:t>
        </w:r>
      </w:hyperlink>
    </w:p>
    <w:p w14:paraId="501BA7E9" w14:textId="4939252A" w:rsidR="00056610" w:rsidRDefault="0018669B" w:rsidP="005327F8">
      <w:pPr>
        <w:spacing w:after="0" w:line="276" w:lineRule="auto"/>
        <w:jc w:val="both"/>
        <w:rPr>
          <w:rFonts w:eastAsia="Calibri"/>
          <w:color w:val="1074CB"/>
          <w:sz w:val="16"/>
          <w:szCs w:val="16"/>
        </w:rPr>
      </w:pPr>
      <w:r>
        <w:rPr>
          <w:rFonts w:eastAsia="Calibri"/>
          <w:color w:val="1074CB"/>
          <w:sz w:val="16"/>
          <w:szCs w:val="16"/>
        </w:rPr>
        <w:t>6</w:t>
      </w:r>
      <w:r w:rsidR="00056610" w:rsidRPr="00B47D39">
        <w:rPr>
          <w:rFonts w:eastAsia="Calibri"/>
          <w:color w:val="1074CB"/>
          <w:sz w:val="16"/>
          <w:szCs w:val="16"/>
        </w:rPr>
        <w:t xml:space="preserve"> </w:t>
      </w:r>
      <w:hyperlink r:id="rId14" w:history="1">
        <w:r w:rsidR="00056610" w:rsidRPr="00B47D39">
          <w:rPr>
            <w:rStyle w:val="Hyperlink"/>
            <w:rFonts w:eastAsia="Calibri"/>
            <w:sz w:val="16"/>
            <w:szCs w:val="16"/>
            <w:u w:val="none"/>
          </w:rPr>
          <w:t xml:space="preserve">ACEA: </w:t>
        </w:r>
        <w:r w:rsidR="00056610" w:rsidRPr="00B47D39">
          <w:rPr>
            <w:rStyle w:val="Hyperlink"/>
            <w:rFonts w:eastAsia="Calibri"/>
            <w:sz w:val="16"/>
            <w:szCs w:val="16"/>
          </w:rPr>
          <w:t>Fuel types of new cars</w:t>
        </w:r>
      </w:hyperlink>
      <w:r w:rsidR="00F96D03">
        <w:rPr>
          <w:rFonts w:eastAsia="Calibri"/>
          <w:color w:val="1074CB"/>
          <w:sz w:val="16"/>
          <w:szCs w:val="16"/>
        </w:rPr>
        <w:t>. Plug-ins defined as Battery Electric Vehicles + Plug-in Hybrid Electric Vehicles</w:t>
      </w:r>
    </w:p>
    <w:p w14:paraId="1558B380" w14:textId="1833D4E0" w:rsidR="0018669B" w:rsidRPr="00B47D39" w:rsidRDefault="0018669B" w:rsidP="0018669B">
      <w:pPr>
        <w:spacing w:after="0" w:line="276" w:lineRule="auto"/>
        <w:jc w:val="both"/>
        <w:rPr>
          <w:rFonts w:eastAsia="Calibri"/>
          <w:color w:val="1074CB"/>
          <w:sz w:val="16"/>
          <w:szCs w:val="16"/>
          <w:u w:val="single"/>
        </w:rPr>
      </w:pPr>
      <w:r>
        <w:rPr>
          <w:rFonts w:eastAsia="Calibri"/>
          <w:color w:val="1074CB"/>
          <w:sz w:val="16"/>
          <w:szCs w:val="16"/>
        </w:rPr>
        <w:t xml:space="preserve">7 </w:t>
      </w:r>
      <w:hyperlink r:id="rId15" w:history="1">
        <w:r w:rsidRPr="00B47D39">
          <w:rPr>
            <w:rStyle w:val="Hyperlink"/>
            <w:rFonts w:eastAsia="Calibri"/>
            <w:sz w:val="16"/>
            <w:szCs w:val="16"/>
          </w:rPr>
          <w:t>UK Automotive calls for urgent action plan to safeguard £14bn recovery as investment deadlines loom</w:t>
        </w:r>
      </w:hyperlink>
    </w:p>
    <w:p w14:paraId="741644C2" w14:textId="77777777" w:rsidR="0018669B" w:rsidRPr="00B47D39" w:rsidRDefault="0018669B" w:rsidP="005327F8">
      <w:pPr>
        <w:spacing w:after="0" w:line="276" w:lineRule="auto"/>
        <w:jc w:val="both"/>
        <w:rPr>
          <w:rFonts w:eastAsia="Calibri"/>
          <w:color w:val="1074CB"/>
          <w:sz w:val="16"/>
          <w:szCs w:val="16"/>
        </w:rPr>
      </w:pPr>
    </w:p>
    <w:p w14:paraId="4FCAD7D9" w14:textId="7A04146C" w:rsidR="00056610" w:rsidRDefault="00056610" w:rsidP="005327F8">
      <w:pPr>
        <w:spacing w:after="0" w:line="276" w:lineRule="auto"/>
        <w:jc w:val="both"/>
        <w:rPr>
          <w:rFonts w:eastAsia="Calibri"/>
          <w:color w:val="1074CB"/>
          <w:sz w:val="16"/>
          <w:szCs w:val="16"/>
        </w:rPr>
      </w:pPr>
    </w:p>
    <w:p w14:paraId="1F0546C4" w14:textId="77777777" w:rsidR="005327F8" w:rsidRDefault="005327F8" w:rsidP="005327F8">
      <w:pPr>
        <w:spacing w:after="0" w:line="276" w:lineRule="auto"/>
        <w:jc w:val="both"/>
        <w:rPr>
          <w:rFonts w:eastAsia="Calibri"/>
          <w:bCs w:val="0"/>
          <w:color w:val="1074CB"/>
          <w:sz w:val="16"/>
          <w:szCs w:val="16"/>
        </w:rPr>
      </w:pPr>
    </w:p>
    <w:bookmarkEnd w:id="0"/>
    <w:p w14:paraId="28788B9F" w14:textId="77777777" w:rsidR="005327F8" w:rsidRDefault="005327F8" w:rsidP="005327F8">
      <w:pPr>
        <w:spacing w:after="0" w:line="240" w:lineRule="auto"/>
        <w:rPr>
          <w:rFonts w:eastAsia="Calibri"/>
          <w:b/>
          <w:bCs w:val="0"/>
          <w:color w:val="1074CB"/>
          <w:sz w:val="16"/>
          <w:szCs w:val="16"/>
        </w:rPr>
      </w:pPr>
      <w:r>
        <w:rPr>
          <w:rFonts w:eastAsia="Calibri"/>
          <w:b/>
          <w:bCs w:val="0"/>
          <w:color w:val="1074CB"/>
          <w:sz w:val="16"/>
          <w:szCs w:val="16"/>
        </w:rPr>
        <w:t>About SMMT and the UK automotive industry</w:t>
      </w:r>
    </w:p>
    <w:p w14:paraId="33911201" w14:textId="77777777" w:rsidR="005327F8" w:rsidRDefault="005327F8" w:rsidP="005327F8">
      <w:pPr>
        <w:spacing w:after="0" w:line="240" w:lineRule="auto"/>
        <w:rPr>
          <w:rFonts w:eastAsia="Calibri"/>
          <w:b/>
          <w:bCs w:val="0"/>
          <w:color w:val="1074CB"/>
          <w:sz w:val="16"/>
          <w:szCs w:val="16"/>
        </w:rPr>
      </w:pPr>
    </w:p>
    <w:p w14:paraId="03C5EC98" w14:textId="77777777" w:rsidR="00FF357B" w:rsidRPr="00E325DE" w:rsidRDefault="00FF357B" w:rsidP="00FF357B">
      <w:pPr>
        <w:spacing w:after="0" w:line="276" w:lineRule="auto"/>
        <w:jc w:val="both"/>
        <w:rPr>
          <w:rFonts w:eastAsia="Calibri"/>
          <w:bCs w:val="0"/>
          <w:color w:val="1074CB"/>
          <w:sz w:val="16"/>
          <w:szCs w:val="16"/>
        </w:rPr>
      </w:pPr>
      <w:r w:rsidRPr="00E325DE">
        <w:rPr>
          <w:rFonts w:eastAsia="Calibri"/>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8B1B050" w14:textId="77777777" w:rsidR="00FF357B" w:rsidRDefault="00FF357B" w:rsidP="005327F8">
      <w:pPr>
        <w:spacing w:after="0" w:line="276" w:lineRule="auto"/>
        <w:jc w:val="both"/>
        <w:rPr>
          <w:rFonts w:eastAsia="Calibri"/>
          <w:bCs w:val="0"/>
          <w:color w:val="1074CB"/>
          <w:sz w:val="16"/>
          <w:szCs w:val="16"/>
        </w:rPr>
      </w:pPr>
    </w:p>
    <w:p w14:paraId="5F6C6F87" w14:textId="6784B21B" w:rsidR="005327F8" w:rsidRDefault="005327F8" w:rsidP="005327F8">
      <w:pPr>
        <w:spacing w:after="0" w:line="276" w:lineRule="auto"/>
        <w:jc w:val="both"/>
        <w:rPr>
          <w:rFonts w:eastAsia="Calibri"/>
          <w:bCs w:val="0"/>
          <w:color w:val="1074CB"/>
          <w:sz w:val="16"/>
          <w:szCs w:val="16"/>
        </w:rPr>
      </w:pPr>
      <w:r>
        <w:rPr>
          <w:rFonts w:eastAsia="Calibri"/>
          <w:bCs w:val="0"/>
          <w:color w:val="1074CB"/>
          <w:sz w:val="16"/>
          <w:szCs w:val="16"/>
        </w:rPr>
        <w:t xml:space="preserve">The automotive industry is a vital part of the UK economy and integral to supporting the delivery of the agendas for levelling up, net zero, advancing global Britain, and the plan for growth. </w:t>
      </w:r>
    </w:p>
    <w:p w14:paraId="5DFF6C9A" w14:textId="77777777" w:rsidR="005327F8" w:rsidRDefault="005327F8" w:rsidP="005327F8">
      <w:pPr>
        <w:spacing w:after="0" w:line="276" w:lineRule="auto"/>
        <w:jc w:val="both"/>
        <w:rPr>
          <w:rFonts w:eastAsia="Calibri"/>
          <w:bCs w:val="0"/>
          <w:color w:val="1074CB"/>
          <w:sz w:val="16"/>
          <w:szCs w:val="16"/>
        </w:rPr>
      </w:pPr>
    </w:p>
    <w:p w14:paraId="2AF632A1" w14:textId="77777777" w:rsidR="005327F8" w:rsidRDefault="005327F8" w:rsidP="005327F8">
      <w:pPr>
        <w:spacing w:after="0" w:line="276" w:lineRule="auto"/>
        <w:jc w:val="both"/>
        <w:rPr>
          <w:rFonts w:eastAsia="Calibri"/>
          <w:bCs w:val="0"/>
          <w:color w:val="1074CB"/>
          <w:sz w:val="16"/>
          <w:szCs w:val="16"/>
        </w:rPr>
      </w:pPr>
      <w:r>
        <w:rPr>
          <w:rFonts w:eastAsia="Calibri"/>
          <w:bCs w:val="0"/>
          <w:color w:val="1074CB"/>
          <w:sz w:val="16"/>
          <w:szCs w:val="16"/>
        </w:rPr>
        <w:lastRenderedPageBreak/>
        <w:t xml:space="preserve">Automotive-related manufacturing contributes £67 billion turnover and £14 billion value added to the UK economy, and typically invest around £3 billion each year in R&amp;D. With more than 182,000 people employed in manufacturing and some 780,000 in total across the wider automotive industry, we account for 10% of total UK goods exports with more than 150 countries importing UK produced vehicles, generating £77 billion of trade. </w:t>
      </w:r>
    </w:p>
    <w:p w14:paraId="4201066E" w14:textId="77777777" w:rsidR="005327F8" w:rsidRDefault="005327F8" w:rsidP="005327F8">
      <w:pPr>
        <w:spacing w:after="0" w:line="276" w:lineRule="auto"/>
        <w:jc w:val="both"/>
        <w:rPr>
          <w:rFonts w:eastAsia="Calibri"/>
          <w:bCs w:val="0"/>
          <w:color w:val="1074CB"/>
          <w:sz w:val="16"/>
          <w:szCs w:val="16"/>
        </w:rPr>
      </w:pPr>
    </w:p>
    <w:p w14:paraId="3C608FCA" w14:textId="77777777" w:rsidR="005327F8" w:rsidRDefault="005327F8" w:rsidP="005327F8">
      <w:pPr>
        <w:spacing w:after="0" w:line="276" w:lineRule="auto"/>
        <w:jc w:val="both"/>
        <w:rPr>
          <w:rFonts w:eastAsia="Calibri"/>
          <w:bCs w:val="0"/>
          <w:color w:val="1074CB"/>
          <w:sz w:val="16"/>
          <w:szCs w:val="16"/>
        </w:rPr>
      </w:pPr>
      <w:r>
        <w:rPr>
          <w:rFonts w:eastAsia="Calibri"/>
          <w:bCs w:val="0"/>
          <w:color w:val="1074CB"/>
          <w:sz w:val="16"/>
          <w:szCs w:val="16"/>
        </w:rPr>
        <w:t>More than 25 manufacturers build over 70 models of vehicles in the UK, plus an array of specialist small volume manufacturers, supported by some 5,000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5F790C73" w14:textId="77777777" w:rsidR="005327F8" w:rsidRDefault="005327F8" w:rsidP="005327F8">
      <w:pPr>
        <w:spacing w:after="0" w:line="276" w:lineRule="auto"/>
        <w:jc w:val="both"/>
        <w:rPr>
          <w:rFonts w:eastAsia="Calibri"/>
          <w:bCs w:val="0"/>
          <w:color w:val="1074CB"/>
          <w:sz w:val="16"/>
          <w:szCs w:val="16"/>
        </w:rPr>
      </w:pPr>
    </w:p>
    <w:p w14:paraId="41DF9056" w14:textId="77777777" w:rsidR="005327F8" w:rsidRDefault="005327F8" w:rsidP="005327F8">
      <w:pPr>
        <w:autoSpaceDE w:val="0"/>
        <w:autoSpaceDN w:val="0"/>
        <w:spacing w:after="0" w:line="276" w:lineRule="auto"/>
        <w:jc w:val="both"/>
        <w:rPr>
          <w:rFonts w:eastAsia="Calibri"/>
          <w:bCs w:val="0"/>
          <w:color w:val="1074CB"/>
          <w:sz w:val="16"/>
          <w:szCs w:val="16"/>
        </w:rPr>
      </w:pPr>
      <w:r>
        <w:rPr>
          <w:rFonts w:eastAsia="Calibri"/>
          <w:bCs w:val="0"/>
          <w:color w:val="1074CB"/>
          <w:sz w:val="16"/>
          <w:szCs w:val="16"/>
        </w:rPr>
        <w:t xml:space="preserve">More detail on UK automotive available in SMMT's Motor Industry Facts publication at </w:t>
      </w:r>
      <w:hyperlink r:id="rId16" w:history="1">
        <w:r>
          <w:rPr>
            <w:rStyle w:val="Hyperlink"/>
            <w:rFonts w:eastAsia="Calibri"/>
            <w:bCs w:val="0"/>
            <w:color w:val="0563C1"/>
            <w:sz w:val="16"/>
            <w:szCs w:val="16"/>
          </w:rPr>
          <w:t>www.smmt.co.uk/reports/smmt-motor-industry-facts/</w:t>
        </w:r>
      </w:hyperlink>
      <w:r>
        <w:rPr>
          <w:rFonts w:eastAsia="Calibri"/>
          <w:bCs w:val="0"/>
        </w:rPr>
        <w:t xml:space="preserve"> </w:t>
      </w:r>
    </w:p>
    <w:p w14:paraId="38B1170C" w14:textId="77777777" w:rsidR="005327F8" w:rsidRDefault="005327F8" w:rsidP="005327F8">
      <w:pPr>
        <w:spacing w:after="0" w:line="276" w:lineRule="auto"/>
        <w:jc w:val="both"/>
        <w:rPr>
          <w:rFonts w:eastAsia="Calibri"/>
          <w:b/>
          <w:bCs w:val="0"/>
          <w:color w:val="0070C0"/>
          <w:sz w:val="16"/>
          <w:szCs w:val="16"/>
        </w:rPr>
      </w:pPr>
    </w:p>
    <w:p w14:paraId="7CCDFF19" w14:textId="77777777" w:rsidR="005327F8" w:rsidRDefault="005327F8" w:rsidP="005327F8">
      <w:pPr>
        <w:spacing w:after="0" w:line="276" w:lineRule="auto"/>
        <w:jc w:val="both"/>
        <w:rPr>
          <w:rFonts w:eastAsia="Calibri"/>
          <w:bCs w:val="0"/>
          <w:color w:val="0070C0"/>
          <w:sz w:val="16"/>
          <w:szCs w:val="16"/>
        </w:rPr>
      </w:pPr>
      <w:r>
        <w:rPr>
          <w:rFonts w:eastAsia="Calibri"/>
          <w:b/>
          <w:bCs w:val="0"/>
          <w:color w:val="0070C0"/>
          <w:sz w:val="16"/>
          <w:szCs w:val="16"/>
        </w:rPr>
        <w:t xml:space="preserve">Broadcasters: </w:t>
      </w:r>
      <w:r>
        <w:rPr>
          <w:rFonts w:eastAsia="Calibri"/>
          <w:bCs w:val="0"/>
          <w:color w:val="0070C0"/>
          <w:sz w:val="16"/>
          <w:szCs w:val="16"/>
        </w:rPr>
        <w:t>SMMT has an ISDN studio and access to expert spokespeople, case studies and regional representatives.</w:t>
      </w:r>
    </w:p>
    <w:p w14:paraId="05C056D3" w14:textId="77777777" w:rsidR="005327F8" w:rsidRDefault="005327F8" w:rsidP="005327F8">
      <w:pPr>
        <w:spacing w:after="0" w:line="276" w:lineRule="auto"/>
        <w:ind w:right="280"/>
        <w:rPr>
          <w:rFonts w:eastAsia="Calibri"/>
          <w:b/>
          <w:bCs w:val="0"/>
          <w:color w:val="1074CB"/>
          <w:sz w:val="16"/>
          <w:szCs w:val="16"/>
        </w:rPr>
      </w:pPr>
    </w:p>
    <w:p w14:paraId="3ECF9021" w14:textId="77777777" w:rsidR="005327F8" w:rsidRDefault="005327F8" w:rsidP="005327F8">
      <w:pPr>
        <w:spacing w:after="0" w:line="276" w:lineRule="auto"/>
        <w:ind w:right="280"/>
        <w:rPr>
          <w:rFonts w:eastAsia="Calibri"/>
          <w:b/>
          <w:bCs w:val="0"/>
          <w:color w:val="1074CB"/>
          <w:sz w:val="16"/>
          <w:szCs w:val="16"/>
          <w:lang w:val="it-IT"/>
        </w:rPr>
      </w:pPr>
      <w:r>
        <w:rPr>
          <w:rFonts w:eastAsia="Calibri"/>
          <w:b/>
          <w:bCs w:val="0"/>
          <w:color w:val="1074CB"/>
          <w:sz w:val="16"/>
          <w:szCs w:val="16"/>
          <w:lang w:val="it-IT"/>
        </w:rPr>
        <w:t>Media contacts</w:t>
      </w:r>
    </w:p>
    <w:p w14:paraId="3BD913A9" w14:textId="77777777" w:rsidR="005327F8" w:rsidRDefault="005327F8" w:rsidP="005327F8">
      <w:pPr>
        <w:spacing w:after="0" w:line="276" w:lineRule="auto"/>
        <w:ind w:right="280"/>
        <w:rPr>
          <w:rFonts w:eastAsia="Calibri"/>
          <w:b/>
          <w:bCs w:val="0"/>
          <w:color w:val="1074CB"/>
          <w:sz w:val="16"/>
          <w:szCs w:val="16"/>
          <w:lang w:val="it-IT"/>
        </w:rPr>
      </w:pPr>
    </w:p>
    <w:p w14:paraId="11D413CA" w14:textId="77777777" w:rsidR="005327F8" w:rsidRDefault="005327F8" w:rsidP="005327F8">
      <w:pPr>
        <w:spacing w:after="0" w:line="276" w:lineRule="auto"/>
        <w:ind w:right="280"/>
        <w:rPr>
          <w:rFonts w:eastAsia="Calibri"/>
          <w:bCs w:val="0"/>
          <w:color w:val="1074CB"/>
          <w:sz w:val="16"/>
          <w:szCs w:val="16"/>
          <w:lang w:val="it-IT"/>
        </w:rPr>
      </w:pPr>
      <w:r>
        <w:rPr>
          <w:rFonts w:eastAsia="Calibri"/>
          <w:bCs w:val="0"/>
          <w:color w:val="1074CB"/>
          <w:sz w:val="16"/>
          <w:szCs w:val="16"/>
          <w:lang w:val="it-IT"/>
        </w:rPr>
        <w:t xml:space="preserve">Paul Mauerhoff                         07809 522181          </w:t>
      </w:r>
      <w:hyperlink r:id="rId17" w:history="1">
        <w:r>
          <w:rPr>
            <w:rStyle w:val="Hyperlink"/>
            <w:rFonts w:eastAsia="Calibri"/>
            <w:bCs w:val="0"/>
            <w:color w:val="0563C1"/>
            <w:sz w:val="16"/>
            <w:szCs w:val="16"/>
            <w:lang w:val="it-IT"/>
          </w:rPr>
          <w:t>pmauerhoff@smmt.co.uk</w:t>
        </w:r>
      </w:hyperlink>
      <w:r>
        <w:rPr>
          <w:rFonts w:eastAsia="Calibri"/>
          <w:bCs w:val="0"/>
          <w:color w:val="1074CB"/>
          <w:sz w:val="16"/>
          <w:szCs w:val="16"/>
          <w:lang w:val="it-IT"/>
        </w:rPr>
        <w:t xml:space="preserve">  </w:t>
      </w:r>
    </w:p>
    <w:p w14:paraId="1007D43F" w14:textId="77777777" w:rsidR="005327F8" w:rsidRDefault="005327F8" w:rsidP="005327F8">
      <w:pPr>
        <w:spacing w:after="0" w:line="276" w:lineRule="auto"/>
        <w:rPr>
          <w:rFonts w:eastAsia="Calibri"/>
          <w:bCs w:val="0"/>
          <w:color w:val="0070C0"/>
          <w:sz w:val="16"/>
          <w:szCs w:val="16"/>
          <w:lang w:val="fr-FR"/>
        </w:rPr>
      </w:pPr>
      <w:r>
        <w:rPr>
          <w:rFonts w:eastAsia="Calibri"/>
          <w:bCs w:val="0"/>
          <w:color w:val="0070C0"/>
          <w:sz w:val="16"/>
          <w:szCs w:val="16"/>
          <w:lang w:val="fr-FR"/>
        </w:rPr>
        <w:t xml:space="preserve">James Boley                             07927 668565          </w:t>
      </w:r>
      <w:hyperlink r:id="rId18" w:history="1">
        <w:r>
          <w:rPr>
            <w:rStyle w:val="Hyperlink"/>
            <w:rFonts w:eastAsia="Calibri"/>
            <w:bCs w:val="0"/>
            <w:color w:val="0563C1"/>
            <w:sz w:val="16"/>
            <w:szCs w:val="16"/>
            <w:lang w:val="fr-FR"/>
          </w:rPr>
          <w:t>jboley@smmt.co.uk</w:t>
        </w:r>
      </w:hyperlink>
      <w:r>
        <w:rPr>
          <w:rFonts w:eastAsia="Calibri"/>
          <w:bCs w:val="0"/>
          <w:color w:val="0070C0"/>
          <w:sz w:val="16"/>
          <w:szCs w:val="16"/>
          <w:lang w:val="fr-FR"/>
        </w:rPr>
        <w:t xml:space="preserve"> </w:t>
      </w:r>
    </w:p>
    <w:p w14:paraId="176640A4" w14:textId="77777777" w:rsidR="005327F8" w:rsidRPr="00466A52" w:rsidRDefault="005327F8" w:rsidP="005327F8">
      <w:pPr>
        <w:spacing w:after="0" w:line="276" w:lineRule="auto"/>
        <w:rPr>
          <w:rFonts w:eastAsia="Calibri"/>
          <w:bCs w:val="0"/>
          <w:color w:val="0070C0"/>
          <w:sz w:val="16"/>
          <w:szCs w:val="16"/>
        </w:rPr>
      </w:pPr>
      <w:r>
        <w:rPr>
          <w:rFonts w:eastAsia="Calibri"/>
          <w:bCs w:val="0"/>
          <w:color w:val="0070C0"/>
          <w:sz w:val="16"/>
          <w:szCs w:val="16"/>
        </w:rPr>
        <w:t xml:space="preserve">Rebecca Gibbs                          07708 480889         </w:t>
      </w:r>
      <w:hyperlink r:id="rId19" w:history="1">
        <w:r>
          <w:rPr>
            <w:rStyle w:val="Hyperlink"/>
            <w:rFonts w:eastAsia="Calibri"/>
            <w:bCs w:val="0"/>
            <w:sz w:val="16"/>
            <w:szCs w:val="16"/>
          </w:rPr>
          <w:t>rgibbs@smmt.co.uk</w:t>
        </w:r>
      </w:hyperlink>
      <w:r>
        <w:rPr>
          <w:rFonts w:eastAsia="Calibri"/>
          <w:bCs w:val="0"/>
          <w:color w:val="0070C0"/>
          <w:sz w:val="16"/>
          <w:szCs w:val="16"/>
        </w:rPr>
        <w:t xml:space="preserve"> </w:t>
      </w:r>
      <w:r>
        <w:rPr>
          <w:rFonts w:eastAsia="Calibri"/>
          <w:bCs w:val="0"/>
          <w:color w:val="0070C0"/>
          <w:sz w:val="16"/>
          <w:szCs w:val="16"/>
        </w:rPr>
        <w:br/>
        <w:t>Scott Clarke                               07912 799959</w:t>
      </w:r>
      <w:r>
        <w:rPr>
          <w:rFonts w:eastAsia="Calibri"/>
          <w:bCs w:val="0"/>
          <w:sz w:val="22"/>
          <w:szCs w:val="22"/>
        </w:rPr>
        <w:t xml:space="preserve">       </w:t>
      </w:r>
      <w:hyperlink r:id="rId20" w:history="1">
        <w:r>
          <w:rPr>
            <w:rStyle w:val="Hyperlink"/>
            <w:rFonts w:eastAsia="Calibri"/>
            <w:bCs w:val="0"/>
            <w:color w:val="0563C1"/>
            <w:sz w:val="16"/>
            <w:szCs w:val="16"/>
          </w:rPr>
          <w:t>sclarke@smmt.co.uk</w:t>
        </w:r>
      </w:hyperlink>
      <w:r>
        <w:rPr>
          <w:rFonts w:eastAsia="Calibri"/>
          <w:bCs w:val="0"/>
          <w:color w:val="0000FF"/>
          <w:sz w:val="16"/>
          <w:szCs w:val="16"/>
          <w:u w:val="single"/>
        </w:rPr>
        <w:br/>
      </w:r>
      <w:r>
        <w:rPr>
          <w:rFonts w:eastAsia="Calibri"/>
          <w:bCs w:val="0"/>
          <w:color w:val="0070C0"/>
          <w:sz w:val="16"/>
          <w:szCs w:val="16"/>
        </w:rPr>
        <w:t xml:space="preserve">Emma Butcher </w:t>
      </w:r>
      <w:r>
        <w:rPr>
          <w:rFonts w:eastAsia="Calibri"/>
          <w:bCs w:val="0"/>
          <w:sz w:val="22"/>
          <w:szCs w:val="22"/>
        </w:rPr>
        <w:t xml:space="preserve">      </w:t>
      </w:r>
      <w:r>
        <w:rPr>
          <w:rFonts w:eastAsia="Calibri"/>
          <w:bCs w:val="0"/>
          <w:color w:val="0070C0"/>
          <w:sz w:val="16"/>
          <w:szCs w:val="16"/>
        </w:rPr>
        <w:t>                 07880 191825</w:t>
      </w:r>
      <w:r>
        <w:rPr>
          <w:rFonts w:eastAsia="Calibri"/>
          <w:bCs w:val="0"/>
          <w:sz w:val="22"/>
          <w:szCs w:val="22"/>
        </w:rPr>
        <w:t xml:space="preserve">       </w:t>
      </w:r>
      <w:hyperlink r:id="rId21" w:history="1">
        <w:r>
          <w:rPr>
            <w:rStyle w:val="Hyperlink"/>
            <w:rFonts w:eastAsia="Calibri"/>
            <w:bCs w:val="0"/>
            <w:color w:val="0563C1"/>
            <w:sz w:val="16"/>
            <w:szCs w:val="16"/>
          </w:rPr>
          <w:t>ebutcher@smmt.co.uk</w:t>
        </w:r>
      </w:hyperlink>
      <w:r w:rsidRPr="00957F99">
        <w:rPr>
          <w:rFonts w:eastAsia="Calibri"/>
          <w:bCs w:val="0"/>
          <w:sz w:val="16"/>
          <w:szCs w:val="16"/>
        </w:rPr>
        <w:t xml:space="preserve"> </w:t>
      </w:r>
    </w:p>
    <w:p w14:paraId="6DB50429" w14:textId="46E449E5" w:rsidR="00207D54" w:rsidRPr="005327F8" w:rsidRDefault="00207D54" w:rsidP="005327F8"/>
    <w:sectPr w:rsidR="00207D54" w:rsidRPr="005327F8" w:rsidSect="00105E93">
      <w:headerReference w:type="default" r:id="rId2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7601D" w14:textId="77777777" w:rsidR="00E63800" w:rsidRDefault="00E63800" w:rsidP="007C70D3">
      <w:pPr>
        <w:spacing w:after="0" w:line="240" w:lineRule="auto"/>
      </w:pPr>
      <w:r>
        <w:separator/>
      </w:r>
    </w:p>
  </w:endnote>
  <w:endnote w:type="continuationSeparator" w:id="0">
    <w:p w14:paraId="0E6854DA" w14:textId="77777777" w:rsidR="00E63800" w:rsidRDefault="00E63800" w:rsidP="007C7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E4CC1" w14:textId="77777777" w:rsidR="00E63800" w:rsidRDefault="00E63800" w:rsidP="007C70D3">
      <w:pPr>
        <w:spacing w:after="0" w:line="240" w:lineRule="auto"/>
      </w:pPr>
      <w:r>
        <w:separator/>
      </w:r>
    </w:p>
  </w:footnote>
  <w:footnote w:type="continuationSeparator" w:id="0">
    <w:p w14:paraId="6D314A31" w14:textId="77777777" w:rsidR="00E63800" w:rsidRDefault="00E63800" w:rsidP="007C7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23A2" w14:textId="6A6F97B6" w:rsidR="007C70D3" w:rsidRDefault="007C70D3" w:rsidP="007C70D3">
    <w:pPr>
      <w:pStyle w:val="Header"/>
      <w:jc w:val="right"/>
    </w:pPr>
    <w:r>
      <w:rPr>
        <w:noProof/>
      </w:rPr>
      <w:drawing>
        <wp:inline distT="0" distB="0" distL="0" distR="0" wp14:anchorId="55B52AC7" wp14:editId="33CCEEAF">
          <wp:extent cx="1724053" cy="549535"/>
          <wp:effectExtent l="0" t="0" r="0" b="3175"/>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42989" cy="555571"/>
                  </a:xfrm>
                  <a:prstGeom prst="rect">
                    <a:avLst/>
                  </a:prstGeom>
                </pic:spPr>
              </pic:pic>
            </a:graphicData>
          </a:graphic>
        </wp:inline>
      </w:drawing>
    </w:r>
  </w:p>
  <w:p w14:paraId="561C1841" w14:textId="77777777" w:rsidR="007C70D3" w:rsidRDefault="007C70D3" w:rsidP="007C70D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C8240D"/>
    <w:multiLevelType w:val="hybridMultilevel"/>
    <w:tmpl w:val="66F8C8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631321"/>
    <w:multiLevelType w:val="hybridMultilevel"/>
    <w:tmpl w:val="386AB3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16cid:durableId="1228414463">
    <w:abstractNumId w:val="1"/>
  </w:num>
  <w:num w:numId="2" w16cid:durableId="1053819937">
    <w:abstractNumId w:val="1"/>
  </w:num>
  <w:num w:numId="3" w16cid:durableId="1417484222">
    <w:abstractNumId w:val="1"/>
  </w:num>
  <w:num w:numId="4" w16cid:durableId="1440098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185"/>
    <w:rsid w:val="00003FB9"/>
    <w:rsid w:val="00012632"/>
    <w:rsid w:val="000141D1"/>
    <w:rsid w:val="000170B9"/>
    <w:rsid w:val="00026990"/>
    <w:rsid w:val="00056610"/>
    <w:rsid w:val="00057FB7"/>
    <w:rsid w:val="00060BFA"/>
    <w:rsid w:val="00063D30"/>
    <w:rsid w:val="000751D4"/>
    <w:rsid w:val="00091C30"/>
    <w:rsid w:val="0009355E"/>
    <w:rsid w:val="00094FA1"/>
    <w:rsid w:val="000A09F7"/>
    <w:rsid w:val="000A3D3F"/>
    <w:rsid w:val="000B05BD"/>
    <w:rsid w:val="000B17D0"/>
    <w:rsid w:val="000C5285"/>
    <w:rsid w:val="000C66C9"/>
    <w:rsid w:val="000D0F84"/>
    <w:rsid w:val="000E2F88"/>
    <w:rsid w:val="000F23C1"/>
    <w:rsid w:val="000F4DC3"/>
    <w:rsid w:val="00105E93"/>
    <w:rsid w:val="00106297"/>
    <w:rsid w:val="00120A67"/>
    <w:rsid w:val="001260B0"/>
    <w:rsid w:val="0013047F"/>
    <w:rsid w:val="00136907"/>
    <w:rsid w:val="00140F92"/>
    <w:rsid w:val="00146D88"/>
    <w:rsid w:val="00153F12"/>
    <w:rsid w:val="001775B4"/>
    <w:rsid w:val="00182510"/>
    <w:rsid w:val="00184267"/>
    <w:rsid w:val="0018669B"/>
    <w:rsid w:val="00187DA8"/>
    <w:rsid w:val="00193417"/>
    <w:rsid w:val="001A369F"/>
    <w:rsid w:val="001A6E70"/>
    <w:rsid w:val="001E74F8"/>
    <w:rsid w:val="001F7FBE"/>
    <w:rsid w:val="00207D54"/>
    <w:rsid w:val="00211C7D"/>
    <w:rsid w:val="00221B5A"/>
    <w:rsid w:val="002305E7"/>
    <w:rsid w:val="00234F92"/>
    <w:rsid w:val="00243C76"/>
    <w:rsid w:val="002600B3"/>
    <w:rsid w:val="00266EF3"/>
    <w:rsid w:val="002B2A92"/>
    <w:rsid w:val="002C407A"/>
    <w:rsid w:val="002C7B9B"/>
    <w:rsid w:val="002D3C31"/>
    <w:rsid w:val="002F0505"/>
    <w:rsid w:val="002F298D"/>
    <w:rsid w:val="0030568C"/>
    <w:rsid w:val="003223DB"/>
    <w:rsid w:val="00324595"/>
    <w:rsid w:val="003342EC"/>
    <w:rsid w:val="00336F31"/>
    <w:rsid w:val="0034137E"/>
    <w:rsid w:val="00344F2E"/>
    <w:rsid w:val="00361202"/>
    <w:rsid w:val="00377CB5"/>
    <w:rsid w:val="003869B9"/>
    <w:rsid w:val="0039093A"/>
    <w:rsid w:val="00394B89"/>
    <w:rsid w:val="003A745A"/>
    <w:rsid w:val="003B31A6"/>
    <w:rsid w:val="003C2F66"/>
    <w:rsid w:val="00414BA7"/>
    <w:rsid w:val="00415C34"/>
    <w:rsid w:val="00441185"/>
    <w:rsid w:val="004450EE"/>
    <w:rsid w:val="0044670D"/>
    <w:rsid w:val="00446B49"/>
    <w:rsid w:val="0044731C"/>
    <w:rsid w:val="0045140C"/>
    <w:rsid w:val="004539DD"/>
    <w:rsid w:val="00466A52"/>
    <w:rsid w:val="00482817"/>
    <w:rsid w:val="00491283"/>
    <w:rsid w:val="00493156"/>
    <w:rsid w:val="004A017E"/>
    <w:rsid w:val="004A3B1A"/>
    <w:rsid w:val="004B5302"/>
    <w:rsid w:val="004D5F13"/>
    <w:rsid w:val="004E15BE"/>
    <w:rsid w:val="004E57A9"/>
    <w:rsid w:val="004F1BF0"/>
    <w:rsid w:val="004F2D8F"/>
    <w:rsid w:val="004F61BB"/>
    <w:rsid w:val="00506807"/>
    <w:rsid w:val="0051765D"/>
    <w:rsid w:val="00520815"/>
    <w:rsid w:val="00526220"/>
    <w:rsid w:val="005327F8"/>
    <w:rsid w:val="0054410E"/>
    <w:rsid w:val="005A0B1D"/>
    <w:rsid w:val="005A2FB2"/>
    <w:rsid w:val="005C534C"/>
    <w:rsid w:val="005D5246"/>
    <w:rsid w:val="005D6D2A"/>
    <w:rsid w:val="00612AC9"/>
    <w:rsid w:val="00630F5D"/>
    <w:rsid w:val="0063310F"/>
    <w:rsid w:val="0065420B"/>
    <w:rsid w:val="006605B6"/>
    <w:rsid w:val="0066241D"/>
    <w:rsid w:val="00681608"/>
    <w:rsid w:val="0068263F"/>
    <w:rsid w:val="006963A1"/>
    <w:rsid w:val="006A0D98"/>
    <w:rsid w:val="006C0777"/>
    <w:rsid w:val="006C09F0"/>
    <w:rsid w:val="006C131C"/>
    <w:rsid w:val="006C7567"/>
    <w:rsid w:val="006F7911"/>
    <w:rsid w:val="00706C62"/>
    <w:rsid w:val="007124B6"/>
    <w:rsid w:val="00717650"/>
    <w:rsid w:val="0072643A"/>
    <w:rsid w:val="00730DEF"/>
    <w:rsid w:val="00733D63"/>
    <w:rsid w:val="00763ABE"/>
    <w:rsid w:val="00771163"/>
    <w:rsid w:val="00782D10"/>
    <w:rsid w:val="00796DB2"/>
    <w:rsid w:val="007A4179"/>
    <w:rsid w:val="007B19A8"/>
    <w:rsid w:val="007C4EE2"/>
    <w:rsid w:val="007C53D3"/>
    <w:rsid w:val="007C70D3"/>
    <w:rsid w:val="007D35C8"/>
    <w:rsid w:val="007E3363"/>
    <w:rsid w:val="007F452D"/>
    <w:rsid w:val="007F5328"/>
    <w:rsid w:val="00805CB1"/>
    <w:rsid w:val="00813C87"/>
    <w:rsid w:val="00817F8F"/>
    <w:rsid w:val="00823AB9"/>
    <w:rsid w:val="00830325"/>
    <w:rsid w:val="00832B6A"/>
    <w:rsid w:val="00845616"/>
    <w:rsid w:val="0087401F"/>
    <w:rsid w:val="0088548A"/>
    <w:rsid w:val="008B30B1"/>
    <w:rsid w:val="008B60BD"/>
    <w:rsid w:val="008C2B42"/>
    <w:rsid w:val="008C610C"/>
    <w:rsid w:val="008C647C"/>
    <w:rsid w:val="008F084D"/>
    <w:rsid w:val="008F391F"/>
    <w:rsid w:val="008F5ACD"/>
    <w:rsid w:val="009034FB"/>
    <w:rsid w:val="00906043"/>
    <w:rsid w:val="00924EC1"/>
    <w:rsid w:val="009256D8"/>
    <w:rsid w:val="00925842"/>
    <w:rsid w:val="0093781D"/>
    <w:rsid w:val="0094019D"/>
    <w:rsid w:val="00940A1A"/>
    <w:rsid w:val="00947795"/>
    <w:rsid w:val="00947F99"/>
    <w:rsid w:val="00950288"/>
    <w:rsid w:val="00954EA8"/>
    <w:rsid w:val="009648B9"/>
    <w:rsid w:val="009747D4"/>
    <w:rsid w:val="00980177"/>
    <w:rsid w:val="00981569"/>
    <w:rsid w:val="009817E4"/>
    <w:rsid w:val="00983E45"/>
    <w:rsid w:val="009A3E9F"/>
    <w:rsid w:val="009A41A3"/>
    <w:rsid w:val="009B5566"/>
    <w:rsid w:val="009D12FB"/>
    <w:rsid w:val="009D4E68"/>
    <w:rsid w:val="009E4B4F"/>
    <w:rsid w:val="009E7078"/>
    <w:rsid w:val="009F4312"/>
    <w:rsid w:val="00A0745C"/>
    <w:rsid w:val="00A10812"/>
    <w:rsid w:val="00A15050"/>
    <w:rsid w:val="00A23023"/>
    <w:rsid w:val="00A3069E"/>
    <w:rsid w:val="00A44351"/>
    <w:rsid w:val="00A47075"/>
    <w:rsid w:val="00A6199B"/>
    <w:rsid w:val="00A65FC6"/>
    <w:rsid w:val="00A704A7"/>
    <w:rsid w:val="00A77EE5"/>
    <w:rsid w:val="00A875EE"/>
    <w:rsid w:val="00A944FB"/>
    <w:rsid w:val="00AB526B"/>
    <w:rsid w:val="00AC3DF7"/>
    <w:rsid w:val="00AC6317"/>
    <w:rsid w:val="00AC701C"/>
    <w:rsid w:val="00AC70AB"/>
    <w:rsid w:val="00AE07DB"/>
    <w:rsid w:val="00AF1037"/>
    <w:rsid w:val="00AF178E"/>
    <w:rsid w:val="00AF757B"/>
    <w:rsid w:val="00B00749"/>
    <w:rsid w:val="00B057FC"/>
    <w:rsid w:val="00B152E1"/>
    <w:rsid w:val="00B17F40"/>
    <w:rsid w:val="00B2575C"/>
    <w:rsid w:val="00B31146"/>
    <w:rsid w:val="00B336CB"/>
    <w:rsid w:val="00B47D39"/>
    <w:rsid w:val="00B51DE2"/>
    <w:rsid w:val="00B55178"/>
    <w:rsid w:val="00B66238"/>
    <w:rsid w:val="00B8152F"/>
    <w:rsid w:val="00B83CB1"/>
    <w:rsid w:val="00B90E23"/>
    <w:rsid w:val="00B92DCD"/>
    <w:rsid w:val="00BA14BC"/>
    <w:rsid w:val="00BC051D"/>
    <w:rsid w:val="00BD54C5"/>
    <w:rsid w:val="00BE6965"/>
    <w:rsid w:val="00C02D1A"/>
    <w:rsid w:val="00C10AA9"/>
    <w:rsid w:val="00C26402"/>
    <w:rsid w:val="00C455E5"/>
    <w:rsid w:val="00C6753F"/>
    <w:rsid w:val="00C712EA"/>
    <w:rsid w:val="00C72C7F"/>
    <w:rsid w:val="00C867FD"/>
    <w:rsid w:val="00C91ABE"/>
    <w:rsid w:val="00C92016"/>
    <w:rsid w:val="00C9224A"/>
    <w:rsid w:val="00C9275B"/>
    <w:rsid w:val="00C931BE"/>
    <w:rsid w:val="00C9323B"/>
    <w:rsid w:val="00C97246"/>
    <w:rsid w:val="00C978BD"/>
    <w:rsid w:val="00CA05DC"/>
    <w:rsid w:val="00CB79D6"/>
    <w:rsid w:val="00CC2DF2"/>
    <w:rsid w:val="00CC63F2"/>
    <w:rsid w:val="00CC70D2"/>
    <w:rsid w:val="00CE31DC"/>
    <w:rsid w:val="00CE6F64"/>
    <w:rsid w:val="00D24071"/>
    <w:rsid w:val="00D44AB3"/>
    <w:rsid w:val="00D4591F"/>
    <w:rsid w:val="00D4683F"/>
    <w:rsid w:val="00D50022"/>
    <w:rsid w:val="00D56511"/>
    <w:rsid w:val="00D56DF4"/>
    <w:rsid w:val="00D662E7"/>
    <w:rsid w:val="00D72DE0"/>
    <w:rsid w:val="00D859D6"/>
    <w:rsid w:val="00D87635"/>
    <w:rsid w:val="00D91C32"/>
    <w:rsid w:val="00D92A5E"/>
    <w:rsid w:val="00DA151C"/>
    <w:rsid w:val="00DA2B2C"/>
    <w:rsid w:val="00DB0383"/>
    <w:rsid w:val="00DB1A5D"/>
    <w:rsid w:val="00DB29E8"/>
    <w:rsid w:val="00DC360A"/>
    <w:rsid w:val="00DC54FC"/>
    <w:rsid w:val="00DC78A6"/>
    <w:rsid w:val="00DC7BA0"/>
    <w:rsid w:val="00DD3224"/>
    <w:rsid w:val="00DD5BE3"/>
    <w:rsid w:val="00DE11B3"/>
    <w:rsid w:val="00DF34FF"/>
    <w:rsid w:val="00DF715D"/>
    <w:rsid w:val="00E00B62"/>
    <w:rsid w:val="00E030F7"/>
    <w:rsid w:val="00E03799"/>
    <w:rsid w:val="00E04576"/>
    <w:rsid w:val="00E07EF6"/>
    <w:rsid w:val="00E10A1B"/>
    <w:rsid w:val="00E14403"/>
    <w:rsid w:val="00E1567F"/>
    <w:rsid w:val="00E21F73"/>
    <w:rsid w:val="00E25467"/>
    <w:rsid w:val="00E26717"/>
    <w:rsid w:val="00E31CCE"/>
    <w:rsid w:val="00E41A69"/>
    <w:rsid w:val="00E439E9"/>
    <w:rsid w:val="00E47DB7"/>
    <w:rsid w:val="00E621B0"/>
    <w:rsid w:val="00E63800"/>
    <w:rsid w:val="00E72782"/>
    <w:rsid w:val="00E772E4"/>
    <w:rsid w:val="00E97DF0"/>
    <w:rsid w:val="00EA51F3"/>
    <w:rsid w:val="00EC5CBD"/>
    <w:rsid w:val="00ED3EA0"/>
    <w:rsid w:val="00EF1B6D"/>
    <w:rsid w:val="00F01818"/>
    <w:rsid w:val="00F05059"/>
    <w:rsid w:val="00F06AFB"/>
    <w:rsid w:val="00F074B4"/>
    <w:rsid w:val="00F20DF4"/>
    <w:rsid w:val="00F22179"/>
    <w:rsid w:val="00F63ED8"/>
    <w:rsid w:val="00F647A6"/>
    <w:rsid w:val="00F64AFB"/>
    <w:rsid w:val="00F903F0"/>
    <w:rsid w:val="00F94081"/>
    <w:rsid w:val="00F96D03"/>
    <w:rsid w:val="00FA4F43"/>
    <w:rsid w:val="00FC07C0"/>
    <w:rsid w:val="00FD6362"/>
    <w:rsid w:val="00FD6F35"/>
    <w:rsid w:val="00FF35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6DF5E"/>
  <w15:chartTrackingRefBased/>
  <w15:docId w15:val="{79A7C5A9-E375-4242-8A08-DB6D1254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A5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1185"/>
    <w:rPr>
      <w:color w:val="0563C1" w:themeColor="hyperlink"/>
      <w:u w:val="single"/>
    </w:rPr>
  </w:style>
  <w:style w:type="character" w:styleId="UnresolvedMention">
    <w:name w:val="Unresolved Mention"/>
    <w:basedOn w:val="DefaultParagraphFont"/>
    <w:uiPriority w:val="99"/>
    <w:semiHidden/>
    <w:unhideWhenUsed/>
    <w:rsid w:val="00441185"/>
    <w:rPr>
      <w:color w:val="605E5C"/>
      <w:shd w:val="clear" w:color="auto" w:fill="E1DFDD"/>
    </w:rPr>
  </w:style>
  <w:style w:type="paragraph" w:styleId="NormalWeb">
    <w:name w:val="Normal (Web)"/>
    <w:basedOn w:val="Normal"/>
    <w:uiPriority w:val="99"/>
    <w:semiHidden/>
    <w:unhideWhenUsed/>
    <w:rsid w:val="00060BFA"/>
    <w:pPr>
      <w:spacing w:before="100" w:beforeAutospacing="1" w:after="100" w:afterAutospacing="1" w:line="240" w:lineRule="auto"/>
    </w:pPr>
    <w:rPr>
      <w:rFonts w:ascii="Calibri" w:hAnsi="Calibri" w:cs="Calibri"/>
      <w:bCs w:val="0"/>
      <w:sz w:val="22"/>
      <w:szCs w:val="22"/>
      <w:lang w:eastAsia="en-GB"/>
    </w:rPr>
  </w:style>
  <w:style w:type="paragraph" w:styleId="Header">
    <w:name w:val="header"/>
    <w:basedOn w:val="Normal"/>
    <w:link w:val="HeaderChar"/>
    <w:uiPriority w:val="99"/>
    <w:unhideWhenUsed/>
    <w:rsid w:val="007C70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70D3"/>
  </w:style>
  <w:style w:type="paragraph" w:styleId="Footer">
    <w:name w:val="footer"/>
    <w:basedOn w:val="Normal"/>
    <w:link w:val="FooterChar"/>
    <w:uiPriority w:val="99"/>
    <w:unhideWhenUsed/>
    <w:rsid w:val="007C70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70D3"/>
  </w:style>
  <w:style w:type="character" w:styleId="CommentReference">
    <w:name w:val="annotation reference"/>
    <w:basedOn w:val="DefaultParagraphFont"/>
    <w:uiPriority w:val="99"/>
    <w:semiHidden/>
    <w:unhideWhenUsed/>
    <w:rsid w:val="00F903F0"/>
    <w:rPr>
      <w:sz w:val="16"/>
      <w:szCs w:val="16"/>
    </w:rPr>
  </w:style>
  <w:style w:type="paragraph" w:styleId="CommentText">
    <w:name w:val="annotation text"/>
    <w:basedOn w:val="Normal"/>
    <w:link w:val="CommentTextChar"/>
    <w:uiPriority w:val="99"/>
    <w:unhideWhenUsed/>
    <w:rsid w:val="00F903F0"/>
    <w:pPr>
      <w:spacing w:line="240" w:lineRule="auto"/>
    </w:pPr>
  </w:style>
  <w:style w:type="character" w:customStyle="1" w:styleId="CommentTextChar">
    <w:name w:val="Comment Text Char"/>
    <w:basedOn w:val="DefaultParagraphFont"/>
    <w:link w:val="CommentText"/>
    <w:uiPriority w:val="99"/>
    <w:rsid w:val="00F903F0"/>
  </w:style>
  <w:style w:type="paragraph" w:styleId="CommentSubject">
    <w:name w:val="annotation subject"/>
    <w:basedOn w:val="CommentText"/>
    <w:next w:val="CommentText"/>
    <w:link w:val="CommentSubjectChar"/>
    <w:uiPriority w:val="99"/>
    <w:semiHidden/>
    <w:unhideWhenUsed/>
    <w:rsid w:val="00F903F0"/>
    <w:rPr>
      <w:b/>
    </w:rPr>
  </w:style>
  <w:style w:type="character" w:customStyle="1" w:styleId="CommentSubjectChar">
    <w:name w:val="Comment Subject Char"/>
    <w:basedOn w:val="CommentTextChar"/>
    <w:link w:val="CommentSubject"/>
    <w:uiPriority w:val="99"/>
    <w:semiHidden/>
    <w:rsid w:val="00F903F0"/>
    <w:rPr>
      <w:b/>
    </w:rPr>
  </w:style>
  <w:style w:type="paragraph" w:styleId="Revision">
    <w:name w:val="Revision"/>
    <w:hidden/>
    <w:uiPriority w:val="99"/>
    <w:semiHidden/>
    <w:rsid w:val="00F903F0"/>
    <w:pPr>
      <w:spacing w:after="0" w:line="240" w:lineRule="auto"/>
    </w:pPr>
  </w:style>
  <w:style w:type="paragraph" w:styleId="ListParagraph">
    <w:name w:val="List Paragraph"/>
    <w:basedOn w:val="Normal"/>
    <w:uiPriority w:val="34"/>
    <w:qFormat/>
    <w:rsid w:val="0009355E"/>
    <w:pPr>
      <w:ind w:left="720"/>
      <w:contextualSpacing/>
    </w:pPr>
  </w:style>
  <w:style w:type="paragraph" w:customStyle="1" w:styleId="xmsonormal">
    <w:name w:val="x_msonormal"/>
    <w:basedOn w:val="Normal"/>
    <w:rsid w:val="0009355E"/>
    <w:pPr>
      <w:spacing w:after="0" w:line="240" w:lineRule="auto"/>
    </w:pPr>
    <w:rPr>
      <w:rFonts w:ascii="Calibri" w:hAnsi="Calibri" w:cs="Calibri"/>
      <w:bCs w:val="0"/>
      <w:sz w:val="22"/>
      <w:szCs w:val="22"/>
      <w:lang w:eastAsia="en-GB"/>
    </w:rPr>
  </w:style>
  <w:style w:type="character" w:customStyle="1" w:styleId="normaltextrun">
    <w:name w:val="normaltextrun"/>
    <w:basedOn w:val="DefaultParagraphFont"/>
    <w:rsid w:val="002D3C31"/>
  </w:style>
  <w:style w:type="character" w:customStyle="1" w:styleId="eop">
    <w:name w:val="eop"/>
    <w:basedOn w:val="DefaultParagraphFont"/>
    <w:rsid w:val="002D3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44728">
      <w:bodyDiv w:val="1"/>
      <w:marLeft w:val="0"/>
      <w:marRight w:val="0"/>
      <w:marTop w:val="0"/>
      <w:marBottom w:val="0"/>
      <w:divBdr>
        <w:top w:val="none" w:sz="0" w:space="0" w:color="auto"/>
        <w:left w:val="none" w:sz="0" w:space="0" w:color="auto"/>
        <w:bottom w:val="none" w:sz="0" w:space="0" w:color="auto"/>
        <w:right w:val="none" w:sz="0" w:space="0" w:color="auto"/>
      </w:divBdr>
    </w:div>
    <w:div w:id="433482113">
      <w:bodyDiv w:val="1"/>
      <w:marLeft w:val="0"/>
      <w:marRight w:val="0"/>
      <w:marTop w:val="0"/>
      <w:marBottom w:val="0"/>
      <w:divBdr>
        <w:top w:val="none" w:sz="0" w:space="0" w:color="auto"/>
        <w:left w:val="none" w:sz="0" w:space="0" w:color="auto"/>
        <w:bottom w:val="none" w:sz="0" w:space="0" w:color="auto"/>
        <w:right w:val="none" w:sz="0" w:space="0" w:color="auto"/>
      </w:divBdr>
    </w:div>
    <w:div w:id="784344893">
      <w:bodyDiv w:val="1"/>
      <w:marLeft w:val="0"/>
      <w:marRight w:val="0"/>
      <w:marTop w:val="0"/>
      <w:marBottom w:val="0"/>
      <w:divBdr>
        <w:top w:val="none" w:sz="0" w:space="0" w:color="auto"/>
        <w:left w:val="none" w:sz="0" w:space="0" w:color="auto"/>
        <w:bottom w:val="none" w:sz="0" w:space="0" w:color="auto"/>
        <w:right w:val="none" w:sz="0" w:space="0" w:color="auto"/>
      </w:divBdr>
    </w:div>
    <w:div w:id="1090540305">
      <w:bodyDiv w:val="1"/>
      <w:marLeft w:val="0"/>
      <w:marRight w:val="0"/>
      <w:marTop w:val="0"/>
      <w:marBottom w:val="0"/>
      <w:divBdr>
        <w:top w:val="none" w:sz="0" w:space="0" w:color="auto"/>
        <w:left w:val="none" w:sz="0" w:space="0" w:color="auto"/>
        <w:bottom w:val="none" w:sz="0" w:space="0" w:color="auto"/>
        <w:right w:val="none" w:sz="0" w:space="0" w:color="auto"/>
      </w:divBdr>
    </w:div>
    <w:div w:id="1134064450">
      <w:bodyDiv w:val="1"/>
      <w:marLeft w:val="0"/>
      <w:marRight w:val="0"/>
      <w:marTop w:val="0"/>
      <w:marBottom w:val="0"/>
      <w:divBdr>
        <w:top w:val="none" w:sz="0" w:space="0" w:color="auto"/>
        <w:left w:val="none" w:sz="0" w:space="0" w:color="auto"/>
        <w:bottom w:val="none" w:sz="0" w:space="0" w:color="auto"/>
        <w:right w:val="none" w:sz="0" w:space="0" w:color="auto"/>
      </w:divBdr>
    </w:div>
    <w:div w:id="1370380562">
      <w:bodyDiv w:val="1"/>
      <w:marLeft w:val="0"/>
      <w:marRight w:val="0"/>
      <w:marTop w:val="0"/>
      <w:marBottom w:val="0"/>
      <w:divBdr>
        <w:top w:val="none" w:sz="0" w:space="0" w:color="auto"/>
        <w:left w:val="none" w:sz="0" w:space="0" w:color="auto"/>
        <w:bottom w:val="none" w:sz="0" w:space="0" w:color="auto"/>
        <w:right w:val="none" w:sz="0" w:space="0" w:color="auto"/>
      </w:divBdr>
    </w:div>
    <w:div w:id="1884293741">
      <w:bodyDiv w:val="1"/>
      <w:marLeft w:val="0"/>
      <w:marRight w:val="0"/>
      <w:marTop w:val="0"/>
      <w:marBottom w:val="0"/>
      <w:divBdr>
        <w:top w:val="none" w:sz="0" w:space="0" w:color="auto"/>
        <w:left w:val="none" w:sz="0" w:space="0" w:color="auto"/>
        <w:bottom w:val="none" w:sz="0" w:space="0" w:color="auto"/>
        <w:right w:val="none" w:sz="0" w:space="0" w:color="auto"/>
      </w:divBdr>
    </w:div>
    <w:div w:id="21242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cea.auto/pc-registrations/passenger-car-registrations-6-1-eleven-months-into-2022-16-3-in-november/" TargetMode="External"/><Relationship Id="rId18" Type="http://schemas.openxmlformats.org/officeDocument/2006/relationships/hyperlink" Target="mailto:jboley@smmt.co.uk" TargetMode="External"/><Relationship Id="rId3" Type="http://schemas.openxmlformats.org/officeDocument/2006/relationships/settings" Target="settings.xml"/><Relationship Id="rId21" Type="http://schemas.openxmlformats.org/officeDocument/2006/relationships/hyperlink" Target="mailto:ebutcher@smmt.co.uk" TargetMode="External"/><Relationship Id="rId7" Type="http://schemas.openxmlformats.org/officeDocument/2006/relationships/hyperlink" Target="https://www.dropbox.com/sh/zcai02svdle06xo/AAAEJOmCeJ6UodQSHmbacxeZa?dl=0" TargetMode="External"/><Relationship Id="rId12" Type="http://schemas.openxmlformats.org/officeDocument/2006/relationships/image" Target="media/image5.png"/><Relationship Id="rId17" Type="http://schemas.openxmlformats.org/officeDocument/2006/relationships/hyperlink" Target="mailto:pmauerhoff@smmt.co.uk" TargetMode="External"/><Relationship Id="rId2" Type="http://schemas.openxmlformats.org/officeDocument/2006/relationships/styles" Target="styles.xml"/><Relationship Id="rId16" Type="http://schemas.openxmlformats.org/officeDocument/2006/relationships/hyperlink" Target="http://www.smmt.co.uk/reports/smmt-motor-industry-facts/" TargetMode="External"/><Relationship Id="rId20" Type="http://schemas.openxmlformats.org/officeDocument/2006/relationships/hyperlink" Target="mailto:sclarke@smmt.co.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smmt.co.uk/2022/11/uk-automotive-calls-for-urgent-action-plan-to-safeguard-14bn-recovery-as-investment-deadlines-loom/"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mailto:rgibbs@smmt.co.uk"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acea.auto/fuel-pc/fuel-types-of-new-cars-battery-electric-11-9-hybrid-22-6-and-petrol-37-8-market-share-in-q3-2022/"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1300</Words>
  <Characters>7416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11</cp:revision>
  <dcterms:created xsi:type="dcterms:W3CDTF">2023-01-04T10:33:00Z</dcterms:created>
  <dcterms:modified xsi:type="dcterms:W3CDTF">2023-01-05T08:35:00Z</dcterms:modified>
</cp:coreProperties>
</file>