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6368" w14:textId="4713B9D5" w:rsidR="00253213" w:rsidRPr="00297E5B" w:rsidRDefault="00253213" w:rsidP="00B40F45">
      <w:pPr>
        <w:pStyle w:val="Title"/>
        <w:spacing w:line="276" w:lineRule="auto"/>
        <w:rPr>
          <w:rFonts w:ascii="Arial" w:hAnsi="Arial" w:cs="Arial"/>
          <w:color w:val="0D2255"/>
          <w:sz w:val="24"/>
          <w:szCs w:val="28"/>
        </w:rPr>
      </w:pPr>
      <w:r w:rsidRPr="00297E5B">
        <w:rPr>
          <w:rFonts w:ascii="Arial" w:hAnsi="Arial" w:cs="Arial"/>
          <w:color w:val="0D2255"/>
          <w:sz w:val="24"/>
          <w:szCs w:val="28"/>
        </w:rPr>
        <w:t xml:space="preserve">SMMT 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 xml:space="preserve">UK </w:t>
      </w:r>
      <w:r w:rsidR="00E527A8">
        <w:rPr>
          <w:rFonts w:ascii="Arial" w:hAnsi="Arial" w:cs="Arial"/>
          <w:color w:val="0D2255"/>
          <w:sz w:val="24"/>
          <w:szCs w:val="28"/>
        </w:rPr>
        <w:t>N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 xml:space="preserve">ew </w:t>
      </w:r>
      <w:r w:rsidR="00E527A8">
        <w:rPr>
          <w:rFonts w:ascii="Arial" w:hAnsi="Arial" w:cs="Arial"/>
          <w:color w:val="0D2255"/>
          <w:sz w:val="24"/>
          <w:szCs w:val="28"/>
        </w:rPr>
        <w:t>C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>ar and LCV</w:t>
      </w:r>
      <w:r w:rsidRPr="00297E5B">
        <w:rPr>
          <w:rFonts w:ascii="Arial" w:hAnsi="Arial" w:cs="Arial"/>
          <w:color w:val="0D2255"/>
          <w:sz w:val="24"/>
          <w:szCs w:val="28"/>
        </w:rPr>
        <w:t xml:space="preserve"> </w:t>
      </w:r>
      <w:r w:rsidR="00E527A8">
        <w:rPr>
          <w:rFonts w:ascii="Arial" w:hAnsi="Arial" w:cs="Arial"/>
          <w:color w:val="0D2255"/>
          <w:sz w:val="24"/>
          <w:szCs w:val="28"/>
        </w:rPr>
        <w:t>R</w:t>
      </w:r>
      <w:r w:rsidRPr="00297E5B">
        <w:rPr>
          <w:rFonts w:ascii="Arial" w:hAnsi="Arial" w:cs="Arial"/>
          <w:color w:val="0D2255"/>
          <w:sz w:val="24"/>
          <w:szCs w:val="28"/>
        </w:rPr>
        <w:t xml:space="preserve">egistrations </w:t>
      </w:r>
      <w:r w:rsidR="00E527A8">
        <w:rPr>
          <w:rFonts w:ascii="Arial" w:hAnsi="Arial" w:cs="Arial"/>
          <w:color w:val="0D2255"/>
          <w:sz w:val="24"/>
          <w:szCs w:val="28"/>
        </w:rPr>
        <w:t>O</w:t>
      </w:r>
      <w:r w:rsidR="00CC7011" w:rsidRPr="00297E5B">
        <w:rPr>
          <w:rFonts w:ascii="Arial" w:hAnsi="Arial" w:cs="Arial"/>
          <w:color w:val="0D2255"/>
          <w:sz w:val="24"/>
          <w:szCs w:val="28"/>
        </w:rPr>
        <w:t>utlook to 202</w:t>
      </w:r>
      <w:r w:rsidR="00887349">
        <w:rPr>
          <w:rFonts w:ascii="Arial" w:hAnsi="Arial" w:cs="Arial"/>
          <w:color w:val="0D2255"/>
          <w:sz w:val="24"/>
          <w:szCs w:val="28"/>
        </w:rPr>
        <w:t>5</w:t>
      </w:r>
      <w:r w:rsidR="008645AE">
        <w:rPr>
          <w:rFonts w:ascii="Arial" w:hAnsi="Arial" w:cs="Arial"/>
          <w:color w:val="0D2255"/>
          <w:sz w:val="24"/>
          <w:szCs w:val="28"/>
        </w:rPr>
        <w:t xml:space="preserve"> at </w:t>
      </w:r>
      <w:r w:rsidR="00D64609">
        <w:rPr>
          <w:rFonts w:ascii="Arial" w:hAnsi="Arial" w:cs="Arial"/>
          <w:color w:val="0D2255"/>
          <w:sz w:val="24"/>
          <w:szCs w:val="28"/>
        </w:rPr>
        <w:t>July</w:t>
      </w:r>
      <w:r w:rsidR="00A042AF">
        <w:rPr>
          <w:rFonts w:ascii="Arial" w:hAnsi="Arial" w:cs="Arial"/>
          <w:color w:val="0D2255"/>
          <w:sz w:val="24"/>
          <w:szCs w:val="28"/>
        </w:rPr>
        <w:t xml:space="preserve"> 2024</w:t>
      </w:r>
    </w:p>
    <w:p w14:paraId="3F5439D0" w14:textId="77777777" w:rsidR="00E4490E" w:rsidRPr="00BE5B7A" w:rsidRDefault="00E4490E" w:rsidP="00B24805">
      <w:pPr>
        <w:pStyle w:val="Title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1D3AC0C6" w14:textId="0DC370D2" w:rsidR="000F6796" w:rsidRDefault="0062436F" w:rsidP="00B24805">
      <w:pPr>
        <w:pStyle w:val="Title"/>
        <w:spacing w:line="276" w:lineRule="auto"/>
        <w:jc w:val="left"/>
        <w:rPr>
          <w:rFonts w:ascii="Arial" w:hAnsi="Arial" w:cs="Arial"/>
          <w:color w:val="0D2255"/>
          <w:sz w:val="22"/>
          <w:szCs w:val="24"/>
        </w:rPr>
      </w:pPr>
      <w:r w:rsidRPr="0004009B">
        <w:rPr>
          <w:rFonts w:ascii="Arial" w:hAnsi="Arial" w:cs="Arial"/>
          <w:color w:val="0D2255"/>
          <w:sz w:val="22"/>
          <w:szCs w:val="24"/>
        </w:rPr>
        <w:t>Background</w:t>
      </w:r>
      <w:r w:rsidR="00790C35" w:rsidRPr="0004009B">
        <w:rPr>
          <w:rFonts w:ascii="Arial" w:hAnsi="Arial" w:cs="Arial"/>
          <w:color w:val="0D2255"/>
          <w:sz w:val="22"/>
          <w:szCs w:val="24"/>
        </w:rPr>
        <w:t xml:space="preserve"> and context to panel survey</w:t>
      </w:r>
    </w:p>
    <w:p w14:paraId="48BB5A1A" w14:textId="23414FF5" w:rsidR="00242AA7" w:rsidRPr="00BE5B7A" w:rsidRDefault="00242AA7" w:rsidP="00B24805">
      <w:pPr>
        <w:pStyle w:val="Title"/>
        <w:spacing w:line="276" w:lineRule="auto"/>
        <w:jc w:val="left"/>
        <w:rPr>
          <w:rFonts w:ascii="Arial" w:hAnsi="Arial" w:cs="Arial"/>
          <w:color w:val="FF0000"/>
          <w:sz w:val="12"/>
          <w:szCs w:val="12"/>
        </w:rPr>
      </w:pPr>
    </w:p>
    <w:p w14:paraId="1A10CE7F" w14:textId="49B62C06" w:rsidR="00135D72" w:rsidRDefault="008E27F8" w:rsidP="008E27F8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D05FCB">
        <w:rPr>
          <w:rFonts w:ascii="Arial" w:hAnsi="Arial" w:cs="Arial"/>
          <w:bCs/>
          <w:sz w:val="20"/>
        </w:rPr>
        <w:t xml:space="preserve">The </w:t>
      </w:r>
      <w:r w:rsidR="00CF3198" w:rsidRPr="00D05FCB">
        <w:rPr>
          <w:rFonts w:ascii="Arial" w:hAnsi="Arial" w:cs="Arial"/>
          <w:bCs/>
          <w:sz w:val="20"/>
        </w:rPr>
        <w:t xml:space="preserve">latest market outlook </w:t>
      </w:r>
      <w:r w:rsidR="00194C98">
        <w:rPr>
          <w:rFonts w:ascii="Arial" w:hAnsi="Arial" w:cs="Arial"/>
          <w:bCs/>
          <w:sz w:val="20"/>
        </w:rPr>
        <w:t xml:space="preserve">for </w:t>
      </w:r>
      <w:r w:rsidR="00B030B2">
        <w:rPr>
          <w:rFonts w:ascii="Arial" w:hAnsi="Arial" w:cs="Arial"/>
          <w:bCs/>
          <w:sz w:val="20"/>
        </w:rPr>
        <w:t>the new car and LCV markets out to 2025</w:t>
      </w:r>
      <w:r w:rsidR="00194C98">
        <w:rPr>
          <w:rFonts w:ascii="Arial" w:hAnsi="Arial" w:cs="Arial"/>
          <w:bCs/>
          <w:sz w:val="20"/>
        </w:rPr>
        <w:t xml:space="preserve"> </w:t>
      </w:r>
      <w:r w:rsidR="00D64609">
        <w:rPr>
          <w:rFonts w:ascii="Arial" w:hAnsi="Arial" w:cs="Arial"/>
          <w:bCs/>
          <w:sz w:val="20"/>
        </w:rPr>
        <w:t xml:space="preserve">trims back the overall market outlook after a further downward view for </w:t>
      </w:r>
      <w:r w:rsidR="00DC2E64">
        <w:rPr>
          <w:rFonts w:ascii="Arial" w:hAnsi="Arial" w:cs="Arial"/>
          <w:bCs/>
          <w:sz w:val="20"/>
        </w:rPr>
        <w:t>battery electric vehicles (BEVs)</w:t>
      </w:r>
      <w:r w:rsidR="00D64609">
        <w:rPr>
          <w:rFonts w:ascii="Arial" w:hAnsi="Arial" w:cs="Arial"/>
          <w:bCs/>
          <w:sz w:val="20"/>
        </w:rPr>
        <w:t>. The economic setting is now firmer and the new Labour government and potential falls in interest rates hopefully may provide more stability and optimism ahead</w:t>
      </w:r>
      <w:r w:rsidR="005A2268">
        <w:rPr>
          <w:rFonts w:ascii="Arial" w:hAnsi="Arial" w:cs="Arial"/>
          <w:bCs/>
          <w:sz w:val="20"/>
        </w:rPr>
        <w:t>.</w:t>
      </w:r>
      <w:r w:rsidR="00D64609">
        <w:rPr>
          <w:rFonts w:ascii="Arial" w:hAnsi="Arial" w:cs="Arial"/>
          <w:bCs/>
          <w:sz w:val="20"/>
        </w:rPr>
        <w:t xml:space="preserve"> </w:t>
      </w:r>
      <w:r w:rsidR="005A2268">
        <w:rPr>
          <w:rFonts w:ascii="Arial" w:hAnsi="Arial" w:cs="Arial"/>
          <w:bCs/>
          <w:sz w:val="20"/>
        </w:rPr>
        <w:t>H</w:t>
      </w:r>
      <w:r w:rsidR="00D64609">
        <w:rPr>
          <w:rFonts w:ascii="Arial" w:hAnsi="Arial" w:cs="Arial"/>
          <w:bCs/>
          <w:sz w:val="20"/>
        </w:rPr>
        <w:t>owever, the challenge of transitioning the market remains significant whilst consumers remain constrained by the cost of living crisis.</w:t>
      </w:r>
      <w:r w:rsidR="00694F69">
        <w:rPr>
          <w:rFonts w:ascii="Arial" w:hAnsi="Arial" w:cs="Arial"/>
          <w:bCs/>
          <w:sz w:val="20"/>
        </w:rPr>
        <w:t xml:space="preserve"> </w:t>
      </w:r>
      <w:r w:rsidRPr="00D05FCB">
        <w:rPr>
          <w:rFonts w:ascii="Arial" w:hAnsi="Arial" w:cs="Arial"/>
          <w:bCs/>
          <w:sz w:val="20"/>
        </w:rPr>
        <w:t>The outlook is revised quarterly in January, April, July and October.</w:t>
      </w:r>
      <w:r w:rsidR="003544AF" w:rsidRPr="00D05FCB">
        <w:rPr>
          <w:rFonts w:ascii="Arial" w:hAnsi="Arial" w:cs="Arial"/>
          <w:bCs/>
          <w:sz w:val="20"/>
        </w:rPr>
        <w:t xml:space="preserve"> </w:t>
      </w:r>
    </w:p>
    <w:p w14:paraId="376C699D" w14:textId="77777777" w:rsidR="008E27F8" w:rsidRPr="00213FCC" w:rsidRDefault="008E27F8" w:rsidP="00135D72">
      <w:pPr>
        <w:rPr>
          <w:rFonts w:ascii="Arial" w:hAnsi="Arial" w:cs="Arial"/>
          <w:b/>
          <w:color w:val="1074CB"/>
          <w:sz w:val="8"/>
          <w:szCs w:val="8"/>
        </w:rPr>
      </w:pPr>
    </w:p>
    <w:tbl>
      <w:tblPr>
        <w:tblpPr w:leftFromText="180" w:rightFromText="180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ayout w:type="fixed"/>
        <w:tblLook w:val="01E0" w:firstRow="1" w:lastRow="1" w:firstColumn="1" w:lastColumn="1" w:noHBand="0" w:noVBand="0"/>
      </w:tblPr>
      <w:tblGrid>
        <w:gridCol w:w="9918"/>
      </w:tblGrid>
      <w:tr w:rsidR="00CF76A0" w:rsidRPr="006E03C6" w14:paraId="2E04D703" w14:textId="77777777" w:rsidTr="00C70720">
        <w:trPr>
          <w:trHeight w:val="931"/>
        </w:trPr>
        <w:tc>
          <w:tcPr>
            <w:tcW w:w="9918" w:type="dxa"/>
            <w:shd w:val="clear" w:color="auto" w:fill="CCE0F1"/>
            <w:tcMar>
              <w:top w:w="108" w:type="dxa"/>
              <w:bottom w:w="108" w:type="dxa"/>
            </w:tcMar>
          </w:tcPr>
          <w:p w14:paraId="0E0259EB" w14:textId="4CDF1442" w:rsidR="0038418E" w:rsidRPr="00242AA7" w:rsidRDefault="0038418E" w:rsidP="003544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AA7">
              <w:rPr>
                <w:rFonts w:ascii="Arial" w:hAnsi="Arial" w:cs="Arial"/>
                <w:b/>
                <w:sz w:val="20"/>
              </w:rPr>
              <w:t xml:space="preserve">UK new </w:t>
            </w:r>
            <w:r w:rsidR="00AA562D" w:rsidRPr="00242AA7">
              <w:rPr>
                <w:rFonts w:ascii="Arial" w:hAnsi="Arial" w:cs="Arial"/>
                <w:b/>
                <w:sz w:val="20"/>
              </w:rPr>
              <w:t xml:space="preserve">car and </w:t>
            </w:r>
            <w:r w:rsidRPr="00242AA7">
              <w:rPr>
                <w:rFonts w:ascii="Arial" w:hAnsi="Arial" w:cs="Arial"/>
                <w:b/>
                <w:sz w:val="20"/>
              </w:rPr>
              <w:t>light vehicle registrations</w:t>
            </w:r>
            <w:r w:rsidR="00CC7011" w:rsidRPr="00242AA7">
              <w:rPr>
                <w:rFonts w:ascii="Arial" w:hAnsi="Arial" w:cs="Arial"/>
                <w:b/>
                <w:sz w:val="20"/>
              </w:rPr>
              <w:t xml:space="preserve"> </w:t>
            </w:r>
            <w:r w:rsidR="00FF34A8">
              <w:rPr>
                <w:rFonts w:ascii="Arial" w:hAnsi="Arial" w:cs="Arial"/>
                <w:b/>
                <w:sz w:val="20"/>
              </w:rPr>
              <w:t xml:space="preserve">outlook </w:t>
            </w:r>
            <w:r w:rsidR="00453A3F">
              <w:rPr>
                <w:rFonts w:ascii="Arial" w:hAnsi="Arial" w:cs="Arial"/>
                <w:b/>
                <w:sz w:val="20"/>
              </w:rPr>
              <w:t>–</w:t>
            </w:r>
            <w:r w:rsidR="00FF34A8">
              <w:rPr>
                <w:rFonts w:ascii="Arial" w:hAnsi="Arial" w:cs="Arial"/>
                <w:b/>
                <w:sz w:val="20"/>
              </w:rPr>
              <w:t xml:space="preserve"> </w:t>
            </w:r>
            <w:r w:rsidR="00D64609">
              <w:rPr>
                <w:rFonts w:ascii="Arial" w:hAnsi="Arial" w:cs="Arial"/>
                <w:b/>
                <w:sz w:val="20"/>
              </w:rPr>
              <w:t>July</w:t>
            </w:r>
            <w:r w:rsidR="00C13951">
              <w:rPr>
                <w:rFonts w:ascii="Arial" w:hAnsi="Arial" w:cs="Arial"/>
                <w:b/>
                <w:sz w:val="20"/>
              </w:rPr>
              <w:t xml:space="preserve"> 2024</w:t>
            </w:r>
          </w:p>
          <w:p w14:paraId="0B4039EE" w14:textId="77777777" w:rsidR="0038418E" w:rsidRPr="00242AA7" w:rsidRDefault="0038418E" w:rsidP="00805EE1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9634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979"/>
              <w:gridCol w:w="979"/>
              <w:gridCol w:w="979"/>
              <w:gridCol w:w="979"/>
              <w:gridCol w:w="979"/>
              <w:gridCol w:w="982"/>
              <w:gridCol w:w="979"/>
              <w:gridCol w:w="979"/>
            </w:tblGrid>
            <w:tr w:rsidR="008C5F84" w:rsidRPr="00242AA7" w14:paraId="7C0B82FA" w14:textId="7792EB5B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39FB23B9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i/>
                      <w:noProof/>
                      <w:sz w:val="20"/>
                    </w:rPr>
                    <w:t>thousands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424AD06D" w14:textId="77777777" w:rsidR="008C5F84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All cars</w:t>
                  </w:r>
                </w:p>
                <w:p w14:paraId="729635E3" w14:textId="5A0E4EE8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Total</w:t>
                  </w:r>
                </w:p>
              </w:tc>
              <w:tc>
                <w:tcPr>
                  <w:tcW w:w="979" w:type="dxa"/>
                </w:tcPr>
                <w:p w14:paraId="7972D52F" w14:textId="77777777" w:rsidR="008C5F84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Petrol</w:t>
                  </w:r>
                </w:p>
                <w:p w14:paraId="66459278" w14:textId="17E06299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079E42D3" w14:textId="2DB72650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Diesel 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5D7647C8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BEV 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1DACA72A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PHEV cars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14:paraId="0395B221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HEV</w:t>
                  </w:r>
                </w:p>
                <w:p w14:paraId="20DF547D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32B8F13D" w14:textId="3F349720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All</w:t>
                  </w:r>
                  <w:r w:rsidR="00D7617E">
                    <w:rPr>
                      <w:rFonts w:ascii="Arial" w:hAnsi="Arial" w:cs="Arial"/>
                      <w:noProof/>
                      <w:sz w:val="20"/>
                    </w:rPr>
                    <w:t xml:space="preserve"> L</w:t>
                  </w: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CV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 xml:space="preserve"> total</w:t>
                  </w:r>
                </w:p>
              </w:tc>
              <w:tc>
                <w:tcPr>
                  <w:tcW w:w="979" w:type="dxa"/>
                </w:tcPr>
                <w:p w14:paraId="5A5BE962" w14:textId="1992D633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BEV LCVs</w:t>
                  </w:r>
                </w:p>
              </w:tc>
            </w:tr>
            <w:tr w:rsidR="008C5F84" w:rsidRPr="00242AA7" w14:paraId="130B79BD" w14:textId="2445057C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281E210C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2016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26E68CA6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2,693</w:t>
                  </w:r>
                </w:p>
              </w:tc>
              <w:tc>
                <w:tcPr>
                  <w:tcW w:w="979" w:type="dxa"/>
                </w:tcPr>
                <w:p w14:paraId="22AA0C41" w14:textId="3B3F6760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1,319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75AE7420" w14:textId="1610EEE9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1,285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40A9D5D4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10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4E7CF690" w14:textId="5B913A4C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29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14:paraId="2B0BD645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50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0027D463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376</w:t>
                  </w:r>
                </w:p>
              </w:tc>
              <w:tc>
                <w:tcPr>
                  <w:tcW w:w="979" w:type="dxa"/>
                </w:tcPr>
                <w:p w14:paraId="06F01E19" w14:textId="3A84AE10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1</w:t>
                  </w:r>
                </w:p>
              </w:tc>
            </w:tr>
            <w:tr w:rsidR="008C5F84" w:rsidRPr="00242AA7" w14:paraId="59E56B77" w14:textId="44BF5376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13BE8599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2019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0F17F9B4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2,311</w:t>
                  </w:r>
                </w:p>
              </w:tc>
              <w:tc>
                <w:tcPr>
                  <w:tcW w:w="979" w:type="dxa"/>
                </w:tcPr>
                <w:p w14:paraId="0178CDB3" w14:textId="2BE63EF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1,52</w:t>
                  </w:r>
                  <w:r w:rsidR="00C762CA">
                    <w:rPr>
                      <w:rFonts w:ascii="Arial" w:hAnsi="Arial" w:cs="Arial"/>
                      <w:b w:val="0"/>
                      <w:noProof/>
                      <w:sz w:val="20"/>
                    </w:rPr>
                    <w:t>5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25D32DEF" w14:textId="70A4E883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616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3195DE80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38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5D85A293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35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14:paraId="6ABAC594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98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1A3AB95A" w14:textId="777777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b w:val="0"/>
                      <w:noProof/>
                      <w:sz w:val="20"/>
                    </w:rPr>
                    <w:t>366</w:t>
                  </w:r>
                </w:p>
              </w:tc>
              <w:tc>
                <w:tcPr>
                  <w:tcW w:w="979" w:type="dxa"/>
                </w:tcPr>
                <w:p w14:paraId="7AF1C069" w14:textId="1BF39277" w:rsidR="008C5F84" w:rsidRPr="00242AA7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3</w:t>
                  </w:r>
                </w:p>
              </w:tc>
            </w:tr>
            <w:tr w:rsidR="008C5F84" w:rsidRPr="00242AA7" w14:paraId="38A56384" w14:textId="228B23EA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635687E6" w14:textId="0F276E67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noProof/>
                      <w:sz w:val="20"/>
                    </w:rPr>
                    <w:t>2022</w:t>
                  </w:r>
                </w:p>
              </w:tc>
              <w:tc>
                <w:tcPr>
                  <w:tcW w:w="979" w:type="dxa"/>
                </w:tcPr>
                <w:p w14:paraId="09A85F05" w14:textId="633674EE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614</w:t>
                  </w:r>
                </w:p>
              </w:tc>
              <w:tc>
                <w:tcPr>
                  <w:tcW w:w="979" w:type="dxa"/>
                </w:tcPr>
                <w:p w14:paraId="37E8FA57" w14:textId="67855E04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90</w:t>
                  </w:r>
                  <w:r w:rsidR="00C762CA">
                    <w:rPr>
                      <w:rFonts w:ascii="Arial" w:hAnsi="Arial" w:cs="Arial"/>
                      <w:b w:val="0"/>
                      <w:noProof/>
                      <w:sz w:val="20"/>
                    </w:rPr>
                    <w:t>2</w:t>
                  </w:r>
                </w:p>
              </w:tc>
              <w:tc>
                <w:tcPr>
                  <w:tcW w:w="979" w:type="dxa"/>
                </w:tcPr>
                <w:p w14:paraId="1B51FBD7" w14:textId="0A63F635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15</w:t>
                  </w:r>
                  <w:r>
                    <w:rPr>
                      <w:rFonts w:ascii="Arial" w:hAnsi="Arial" w:cs="Arial"/>
                      <w:b w:val="0"/>
                      <w:noProof/>
                      <w:sz w:val="20"/>
                    </w:rPr>
                    <w:t>5</w:t>
                  </w:r>
                </w:p>
              </w:tc>
              <w:tc>
                <w:tcPr>
                  <w:tcW w:w="979" w:type="dxa"/>
                </w:tcPr>
                <w:p w14:paraId="33372359" w14:textId="5D7EA5E2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67</w:t>
                  </w:r>
                </w:p>
              </w:tc>
              <w:tc>
                <w:tcPr>
                  <w:tcW w:w="979" w:type="dxa"/>
                </w:tcPr>
                <w:p w14:paraId="6553E8AB" w14:textId="570A02A1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101</w:t>
                  </w:r>
                </w:p>
              </w:tc>
              <w:tc>
                <w:tcPr>
                  <w:tcW w:w="982" w:type="dxa"/>
                </w:tcPr>
                <w:p w14:paraId="5F11D211" w14:textId="30274797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18</w:t>
                  </w:r>
                  <w:r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8</w:t>
                  </w:r>
                </w:p>
              </w:tc>
              <w:tc>
                <w:tcPr>
                  <w:tcW w:w="979" w:type="dxa"/>
                </w:tcPr>
                <w:p w14:paraId="49B4D03C" w14:textId="542E6D2A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82</w:t>
                  </w:r>
                </w:p>
              </w:tc>
              <w:tc>
                <w:tcPr>
                  <w:tcW w:w="979" w:type="dxa"/>
                </w:tcPr>
                <w:p w14:paraId="4EED7ABC" w14:textId="7BDF8632" w:rsidR="008C5F84" w:rsidRPr="005135E1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5135E1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1</w:t>
                  </w:r>
                  <w:r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7</w:t>
                  </w:r>
                </w:p>
              </w:tc>
            </w:tr>
            <w:tr w:rsidR="008C5F84" w:rsidRPr="00242AA7" w14:paraId="133824A6" w14:textId="078A5704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39243A7F" w14:textId="66BEE634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noProof/>
                      <w:sz w:val="20"/>
                    </w:rPr>
                    <w:t>2023</w:t>
                  </w:r>
                </w:p>
              </w:tc>
              <w:tc>
                <w:tcPr>
                  <w:tcW w:w="979" w:type="dxa"/>
                </w:tcPr>
                <w:p w14:paraId="3DE4E8D0" w14:textId="4ED94E99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</w:t>
                  </w:r>
                  <w:r w:rsidR="00A042AF">
                    <w:rPr>
                      <w:rFonts w:ascii="Arial" w:hAnsi="Arial" w:cs="Arial"/>
                      <w:b w:val="0"/>
                      <w:noProof/>
                      <w:sz w:val="20"/>
                    </w:rPr>
                    <w:t>903</w:t>
                  </w:r>
                </w:p>
              </w:tc>
              <w:tc>
                <w:tcPr>
                  <w:tcW w:w="979" w:type="dxa"/>
                </w:tcPr>
                <w:p w14:paraId="34826CF2" w14:textId="2DA9433C" w:rsidR="008C5F84" w:rsidRPr="005E41BD" w:rsidRDefault="00C762CA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5E41BD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1,0</w:t>
                  </w:r>
                  <w:r w:rsidR="005E41BD" w:rsidRPr="005E41BD">
                    <w:rPr>
                      <w:rFonts w:ascii="Arial" w:hAnsi="Arial" w:cs="Arial"/>
                      <w:b w:val="0"/>
                      <w:noProof/>
                      <w:sz w:val="20"/>
                    </w:rPr>
                    <w:t>66</w:t>
                  </w:r>
                </w:p>
              </w:tc>
              <w:tc>
                <w:tcPr>
                  <w:tcW w:w="979" w:type="dxa"/>
                </w:tcPr>
                <w:p w14:paraId="11C442C4" w14:textId="1E555B52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noProof/>
                      <w:sz w:val="20"/>
                    </w:rPr>
                    <w:t>1</w:t>
                  </w:r>
                  <w:r w:rsidR="00B030B2" w:rsidRPr="00A042AF">
                    <w:rPr>
                      <w:rFonts w:ascii="Arial" w:hAnsi="Arial" w:cs="Arial"/>
                      <w:b w:val="0"/>
                      <w:noProof/>
                      <w:sz w:val="20"/>
                    </w:rPr>
                    <w:t>42</w:t>
                  </w:r>
                </w:p>
              </w:tc>
              <w:tc>
                <w:tcPr>
                  <w:tcW w:w="979" w:type="dxa"/>
                </w:tcPr>
                <w:p w14:paraId="31420C75" w14:textId="3EBAB807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3</w:t>
                  </w:r>
                  <w:r w:rsid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15</w:t>
                  </w:r>
                </w:p>
              </w:tc>
              <w:tc>
                <w:tcPr>
                  <w:tcW w:w="979" w:type="dxa"/>
                </w:tcPr>
                <w:p w14:paraId="4DE4A145" w14:textId="03DFA770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1</w:t>
                  </w:r>
                  <w:r w:rsid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41</w:t>
                  </w:r>
                </w:p>
              </w:tc>
              <w:tc>
                <w:tcPr>
                  <w:tcW w:w="982" w:type="dxa"/>
                </w:tcPr>
                <w:p w14:paraId="570BB9D1" w14:textId="654A7A6C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2</w:t>
                  </w:r>
                  <w:r w:rsidR="00694F69"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3</w:t>
                  </w:r>
                  <w:r w:rsid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9</w:t>
                  </w:r>
                </w:p>
              </w:tc>
              <w:tc>
                <w:tcPr>
                  <w:tcW w:w="979" w:type="dxa"/>
                </w:tcPr>
                <w:p w14:paraId="77E47A63" w14:textId="510CD339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3</w:t>
                  </w:r>
                  <w:r w:rsid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41</w:t>
                  </w:r>
                </w:p>
              </w:tc>
              <w:tc>
                <w:tcPr>
                  <w:tcW w:w="979" w:type="dxa"/>
                </w:tcPr>
                <w:p w14:paraId="6138EA53" w14:textId="11DF62C7" w:rsidR="008C5F84" w:rsidRPr="00A042AF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2</w:t>
                  </w:r>
                  <w:r w:rsidR="00A042AF"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  <w:t>0</w:t>
                  </w:r>
                </w:p>
              </w:tc>
            </w:tr>
            <w:tr w:rsidR="008C5F84" w:rsidRPr="00242AA7" w14:paraId="11EE7BEC" w14:textId="77777777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6A36C031" w14:textId="5E17167F" w:rsidR="008C5F84" w:rsidRPr="001E647E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  <w:t>2024 (f)</w:t>
                  </w:r>
                </w:p>
              </w:tc>
              <w:tc>
                <w:tcPr>
                  <w:tcW w:w="979" w:type="dxa"/>
                </w:tcPr>
                <w:p w14:paraId="51781A66" w14:textId="49F60B0F" w:rsidR="008C5F84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1,9</w:t>
                  </w:r>
                  <w:r w:rsidR="00D64609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68</w:t>
                  </w:r>
                </w:p>
              </w:tc>
              <w:tc>
                <w:tcPr>
                  <w:tcW w:w="979" w:type="dxa"/>
                </w:tcPr>
                <w:p w14:paraId="5C2D6CE8" w14:textId="52CB0286" w:rsidR="008C5F84" w:rsidRPr="005E41BD" w:rsidRDefault="00DC2E6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1</w:t>
                  </w:r>
                  <w:r w:rsidR="00A552AF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,</w:t>
                  </w: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0</w:t>
                  </w:r>
                  <w:r w:rsidR="00B068DD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42</w:t>
                  </w:r>
                </w:p>
              </w:tc>
              <w:tc>
                <w:tcPr>
                  <w:tcW w:w="979" w:type="dxa"/>
                </w:tcPr>
                <w:p w14:paraId="0799ABE7" w14:textId="05DD8C55" w:rsidR="008C5F84" w:rsidRPr="00CF3198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1</w:t>
                  </w:r>
                  <w:r w:rsidR="00DC2E64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2</w:t>
                  </w:r>
                  <w:r w:rsidR="00D64609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0</w:t>
                  </w:r>
                </w:p>
              </w:tc>
              <w:tc>
                <w:tcPr>
                  <w:tcW w:w="979" w:type="dxa"/>
                </w:tcPr>
                <w:p w14:paraId="2D645F29" w14:textId="2D9B96D4" w:rsidR="008C5F84" w:rsidRDefault="00DC2E6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3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64</w:t>
                  </w:r>
                </w:p>
              </w:tc>
              <w:tc>
                <w:tcPr>
                  <w:tcW w:w="979" w:type="dxa"/>
                </w:tcPr>
                <w:p w14:paraId="7EA3821B" w14:textId="123BAE50" w:rsidR="008C5F84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1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71</w:t>
                  </w:r>
                </w:p>
              </w:tc>
              <w:tc>
                <w:tcPr>
                  <w:tcW w:w="982" w:type="dxa"/>
                </w:tcPr>
                <w:p w14:paraId="61C33A52" w14:textId="39B112D2" w:rsidR="008C5F84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2</w:t>
                  </w:r>
                  <w:r w:rsidR="00694F6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7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1</w:t>
                  </w:r>
                </w:p>
              </w:tc>
              <w:tc>
                <w:tcPr>
                  <w:tcW w:w="979" w:type="dxa"/>
                </w:tcPr>
                <w:p w14:paraId="19A14704" w14:textId="2C434855" w:rsidR="008C5F84" w:rsidRPr="00CF3198" w:rsidRDefault="008C5F84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3</w:t>
                  </w:r>
                  <w:r w:rsidR="00DC2E64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5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1</w:t>
                  </w:r>
                </w:p>
              </w:tc>
              <w:tc>
                <w:tcPr>
                  <w:tcW w:w="979" w:type="dxa"/>
                </w:tcPr>
                <w:p w14:paraId="5B2E1528" w14:textId="61E4CAD8" w:rsidR="008C5F84" w:rsidRDefault="00A042AF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2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3</w:t>
                  </w:r>
                </w:p>
              </w:tc>
            </w:tr>
            <w:tr w:rsidR="00B030B2" w:rsidRPr="00242AA7" w14:paraId="3743042B" w14:textId="77777777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77B85BF0" w14:textId="058B8BAD" w:rsidR="00B030B2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  <w:t>2025 (f)</w:t>
                  </w:r>
                </w:p>
              </w:tc>
              <w:tc>
                <w:tcPr>
                  <w:tcW w:w="979" w:type="dxa"/>
                </w:tcPr>
                <w:p w14:paraId="76AC01D1" w14:textId="25952AE9" w:rsidR="00B030B2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2,0</w:t>
                  </w:r>
                  <w:r w:rsidR="00D64609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29</w:t>
                  </w:r>
                </w:p>
              </w:tc>
              <w:tc>
                <w:tcPr>
                  <w:tcW w:w="979" w:type="dxa"/>
                </w:tcPr>
                <w:p w14:paraId="3FCEA40A" w14:textId="6035A546" w:rsidR="00B030B2" w:rsidRPr="005E41BD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 w:rsidRPr="005E41BD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9</w:t>
                  </w:r>
                  <w:r w:rsidR="00B068DD"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63</w:t>
                  </w:r>
                </w:p>
              </w:tc>
              <w:tc>
                <w:tcPr>
                  <w:tcW w:w="979" w:type="dxa"/>
                </w:tcPr>
                <w:p w14:paraId="7577E9DF" w14:textId="67E5A7F0" w:rsidR="00B030B2" w:rsidRDefault="00D64609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noProof/>
                      <w:sz w:val="20"/>
                    </w:rPr>
                    <w:t>97</w:t>
                  </w:r>
                </w:p>
              </w:tc>
              <w:tc>
                <w:tcPr>
                  <w:tcW w:w="979" w:type="dxa"/>
                </w:tcPr>
                <w:p w14:paraId="145412D7" w14:textId="347393B1" w:rsidR="00B030B2" w:rsidRDefault="00D64609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480</w:t>
                  </w:r>
                </w:p>
              </w:tc>
              <w:tc>
                <w:tcPr>
                  <w:tcW w:w="979" w:type="dxa"/>
                </w:tcPr>
                <w:p w14:paraId="78637B46" w14:textId="51AD353B" w:rsidR="00B030B2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1</w:t>
                  </w:r>
                  <w:r w:rsidR="00DC2E64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9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3</w:t>
                  </w:r>
                </w:p>
              </w:tc>
              <w:tc>
                <w:tcPr>
                  <w:tcW w:w="982" w:type="dxa"/>
                </w:tcPr>
                <w:p w14:paraId="1B7D1CF9" w14:textId="67FF1E33" w:rsidR="00B030B2" w:rsidRDefault="00D64609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296</w:t>
                  </w:r>
                </w:p>
              </w:tc>
              <w:tc>
                <w:tcPr>
                  <w:tcW w:w="979" w:type="dxa"/>
                </w:tcPr>
                <w:p w14:paraId="29CD4FB4" w14:textId="5F16F76C" w:rsidR="00B030B2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3</w:t>
                  </w:r>
                  <w:r w:rsidR="00DC2E64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6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2</w:t>
                  </w:r>
                </w:p>
              </w:tc>
              <w:tc>
                <w:tcPr>
                  <w:tcW w:w="979" w:type="dxa"/>
                </w:tcPr>
                <w:p w14:paraId="44777EA9" w14:textId="31746281" w:rsidR="00B030B2" w:rsidRDefault="00B030B2" w:rsidP="007D640A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4</w:t>
                  </w:r>
                  <w:r w:rsidR="00D64609"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  <w:t>4</w:t>
                  </w:r>
                </w:p>
              </w:tc>
            </w:tr>
          </w:tbl>
          <w:p w14:paraId="724DCED6" w14:textId="2B91D492" w:rsidR="001848DB" w:rsidRDefault="0038418E" w:rsidP="001314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LCVs = light commercial vehicles to 3.5t </w:t>
            </w:r>
            <w:proofErr w:type="spellStart"/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gvw</w:t>
            </w:r>
            <w:proofErr w:type="spellEnd"/>
            <w:r w:rsidR="00C940E8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C70720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Fuel type split is within the total market data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. 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Diesel 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and petrol 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>include mild hybrids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>BEV = B</w:t>
            </w:r>
            <w:r w:rsidR="000B048F">
              <w:rPr>
                <w:rFonts w:ascii="Arial" w:hAnsi="Arial" w:cs="Arial"/>
                <w:b w:val="0"/>
                <w:i/>
                <w:sz w:val="16"/>
                <w:szCs w:val="16"/>
              </w:rPr>
              <w:t>a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>ttery electric vehicle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;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PHEV = P</w:t>
            </w:r>
            <w:r w:rsidR="00CC7011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lug-in hybrid </w:t>
            </w:r>
            <w:r w:rsidR="000B048F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electric </w:t>
            </w:r>
            <w:r w:rsidR="00CC7011">
              <w:rPr>
                <w:rFonts w:ascii="Arial" w:hAnsi="Arial" w:cs="Arial"/>
                <w:b w:val="0"/>
                <w:i/>
                <w:sz w:val="16"/>
                <w:szCs w:val="16"/>
              </w:rPr>
              <w:t>vehicle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;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HEV = H</w:t>
            </w:r>
            <w:r w:rsidR="00AA562D">
              <w:rPr>
                <w:rFonts w:ascii="Arial" w:hAnsi="Arial" w:cs="Arial"/>
                <w:b w:val="0"/>
                <w:i/>
                <w:sz w:val="16"/>
                <w:szCs w:val="16"/>
              </w:rPr>
              <w:t>ybrid electric vehicles</w:t>
            </w:r>
            <w:r w:rsidR="002C4D20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p w14:paraId="0AB95DE4" w14:textId="77777777" w:rsidR="00427000" w:rsidRPr="00213FCC" w:rsidRDefault="00427000" w:rsidP="00BA41B2">
      <w:pPr>
        <w:rPr>
          <w:rFonts w:ascii="Arial" w:hAnsi="Arial" w:cs="Arial"/>
          <w:b/>
          <w:color w:val="0D2255"/>
          <w:sz w:val="6"/>
          <w:szCs w:val="6"/>
        </w:rPr>
      </w:pPr>
    </w:p>
    <w:p w14:paraId="0453B877" w14:textId="77777777" w:rsidR="00F70EA9" w:rsidRDefault="00F70EA9" w:rsidP="00BA41B2">
      <w:pPr>
        <w:framePr w:hSpace="180" w:wrap="around" w:vAnchor="text" w:hAnchor="margin" w:y="22"/>
        <w:rPr>
          <w:rFonts w:ascii="Arial" w:hAnsi="Arial" w:cs="Arial"/>
          <w:b/>
          <w:color w:val="0D2255"/>
          <w:szCs w:val="24"/>
        </w:rPr>
      </w:pPr>
    </w:p>
    <w:tbl>
      <w:tblPr>
        <w:tblpPr w:leftFromText="180" w:rightFromText="180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ook w:val="01E0" w:firstRow="1" w:lastRow="1" w:firstColumn="1" w:lastColumn="1" w:noHBand="0" w:noVBand="0"/>
      </w:tblPr>
      <w:tblGrid>
        <w:gridCol w:w="9918"/>
      </w:tblGrid>
      <w:tr w:rsidR="00427000" w:rsidRPr="007E78EF" w14:paraId="7084F98B" w14:textId="77777777" w:rsidTr="00C70720">
        <w:trPr>
          <w:trHeight w:val="1442"/>
        </w:trPr>
        <w:tc>
          <w:tcPr>
            <w:tcW w:w="9918" w:type="dxa"/>
            <w:shd w:val="clear" w:color="auto" w:fill="CCE0F1"/>
            <w:tcMar>
              <w:top w:w="108" w:type="dxa"/>
              <w:bottom w:w="108" w:type="dxa"/>
            </w:tcMar>
          </w:tcPr>
          <w:p w14:paraId="1AD86F65" w14:textId="6B60B50B" w:rsidR="00427000" w:rsidRPr="00B26FBD" w:rsidRDefault="00387578" w:rsidP="00427000">
            <w:pPr>
              <w:pStyle w:val="Title"/>
              <w:spacing w:line="276" w:lineRule="auto"/>
              <w:rPr>
                <w:rFonts w:ascii="Arial" w:hAnsi="Arial" w:cs="Arial"/>
                <w:color w:val="0D2255"/>
                <w:sz w:val="22"/>
                <w:szCs w:val="22"/>
              </w:rPr>
            </w:pPr>
            <w:r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SMMT </w:t>
            </w:r>
            <w:r w:rsidR="00372476" w:rsidRPr="00B26FBD">
              <w:rPr>
                <w:rFonts w:ascii="Arial" w:hAnsi="Arial" w:cs="Arial"/>
                <w:color w:val="0D2255"/>
                <w:sz w:val="22"/>
                <w:szCs w:val="22"/>
              </w:rPr>
              <w:t>outlook</w:t>
            </w:r>
            <w:r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 for</w:t>
            </w:r>
            <w:r w:rsidR="00CC7011"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5135E1">
              <w:rPr>
                <w:rFonts w:ascii="Arial" w:hAnsi="Arial" w:cs="Arial"/>
                <w:color w:val="0D2255"/>
                <w:sz w:val="22"/>
                <w:szCs w:val="22"/>
              </w:rPr>
              <w:t>202</w:t>
            </w:r>
            <w:r w:rsidR="00A042AF">
              <w:rPr>
                <w:rFonts w:ascii="Arial" w:hAnsi="Arial" w:cs="Arial"/>
                <w:color w:val="0D2255"/>
                <w:sz w:val="22"/>
                <w:szCs w:val="22"/>
              </w:rPr>
              <w:t>4</w:t>
            </w:r>
            <w:r w:rsidR="005135E1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B030B2">
              <w:rPr>
                <w:rFonts w:ascii="Arial" w:hAnsi="Arial" w:cs="Arial"/>
                <w:color w:val="0D2255"/>
                <w:sz w:val="22"/>
                <w:szCs w:val="22"/>
              </w:rPr>
              <w:t xml:space="preserve">to </w:t>
            </w:r>
            <w:r w:rsidR="003544AF">
              <w:rPr>
                <w:rFonts w:ascii="Arial" w:hAnsi="Arial" w:cs="Arial"/>
                <w:color w:val="0D2255"/>
                <w:sz w:val="22"/>
                <w:szCs w:val="22"/>
              </w:rPr>
              <w:t>202</w:t>
            </w:r>
            <w:r w:rsidR="00B030B2">
              <w:rPr>
                <w:rFonts w:ascii="Arial" w:hAnsi="Arial" w:cs="Arial"/>
                <w:color w:val="0D2255"/>
                <w:sz w:val="22"/>
                <w:szCs w:val="22"/>
              </w:rPr>
              <w:t>5</w:t>
            </w:r>
            <w:r w:rsidR="00701F16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427000" w:rsidRPr="00B26FBD">
              <w:rPr>
                <w:rFonts w:ascii="Arial" w:hAnsi="Arial" w:cs="Arial"/>
                <w:color w:val="0D2255"/>
                <w:sz w:val="22"/>
                <w:szCs w:val="22"/>
              </w:rPr>
              <w:t>– as a</w:t>
            </w:r>
            <w:r w:rsidR="004A0153">
              <w:rPr>
                <w:rFonts w:ascii="Arial" w:hAnsi="Arial" w:cs="Arial"/>
                <w:color w:val="0D2255"/>
                <w:sz w:val="22"/>
                <w:szCs w:val="22"/>
              </w:rPr>
              <w:t xml:space="preserve">t </w:t>
            </w:r>
            <w:r w:rsidR="00B068DD">
              <w:rPr>
                <w:rFonts w:ascii="Arial" w:hAnsi="Arial" w:cs="Arial"/>
                <w:color w:val="0D2255"/>
                <w:sz w:val="22"/>
                <w:szCs w:val="22"/>
              </w:rPr>
              <w:t>July</w:t>
            </w:r>
            <w:r w:rsidR="00A042AF">
              <w:rPr>
                <w:rFonts w:ascii="Arial" w:hAnsi="Arial" w:cs="Arial"/>
                <w:color w:val="0D2255"/>
                <w:sz w:val="22"/>
                <w:szCs w:val="22"/>
              </w:rPr>
              <w:t xml:space="preserve"> 2024</w:t>
            </w:r>
          </w:p>
          <w:p w14:paraId="7C363813" w14:textId="77777777" w:rsidR="001C37CD" w:rsidRPr="00213FCC" w:rsidRDefault="001C37CD" w:rsidP="003F3D48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15F492C2" w14:textId="77777777" w:rsidR="00D91E7F" w:rsidRPr="00907E1D" w:rsidRDefault="00D91E7F" w:rsidP="00D91E7F">
            <w:pPr>
              <w:pStyle w:val="Title"/>
              <w:spacing w:line="276" w:lineRule="auto"/>
              <w:ind w:left="720"/>
              <w:jc w:val="both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60069633" w14:textId="1413B53A" w:rsidR="007B5381" w:rsidRPr="00E02E7A" w:rsidRDefault="007B5381" w:rsidP="007B5381">
            <w:pPr>
              <w:pStyle w:val="Title"/>
              <w:spacing w:line="276" w:lineRule="auto"/>
              <w:rPr>
                <w:rFonts w:ascii="Arial" w:hAnsi="Arial" w:cs="Arial"/>
                <w:sz w:val="20"/>
              </w:rPr>
            </w:pPr>
            <w:r w:rsidRPr="00E02E7A">
              <w:rPr>
                <w:rFonts w:ascii="Arial" w:hAnsi="Arial" w:cs="Arial"/>
                <w:sz w:val="20"/>
              </w:rPr>
              <w:t>202</w:t>
            </w:r>
            <w:r w:rsidR="005135E1">
              <w:rPr>
                <w:rFonts w:ascii="Arial" w:hAnsi="Arial" w:cs="Arial"/>
                <w:sz w:val="20"/>
              </w:rPr>
              <w:t>4</w:t>
            </w:r>
          </w:p>
          <w:p w14:paraId="77BD147D" w14:textId="41A3772C" w:rsidR="007B5381" w:rsidRPr="00E02E7A" w:rsidRDefault="00EF742E" w:rsidP="003C4E6C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New car market </w:t>
            </w:r>
            <w:r w:rsidR="00C762CA">
              <w:rPr>
                <w:rFonts w:ascii="Arial" w:hAnsi="Arial" w:cs="Arial"/>
                <w:b w:val="0"/>
                <w:sz w:val="20"/>
              </w:rPr>
              <w:t xml:space="preserve">outlook </w:t>
            </w:r>
            <w:r w:rsidR="007B5381" w:rsidRPr="00E02E7A">
              <w:rPr>
                <w:rFonts w:ascii="Arial" w:hAnsi="Arial" w:cs="Arial"/>
                <w:b w:val="0"/>
                <w:sz w:val="20"/>
              </w:rPr>
              <w:t>at</w:t>
            </w:r>
            <w:r w:rsidR="00C61EE1" w:rsidRPr="00E02E7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82158">
              <w:rPr>
                <w:rFonts w:ascii="Arial" w:hAnsi="Arial" w:cs="Arial"/>
                <w:b w:val="0"/>
                <w:sz w:val="20"/>
              </w:rPr>
              <w:t>1</w:t>
            </w:r>
            <w:r w:rsidR="008F28E1">
              <w:rPr>
                <w:rFonts w:ascii="Arial" w:hAnsi="Arial" w:cs="Arial"/>
                <w:b w:val="0"/>
                <w:sz w:val="20"/>
              </w:rPr>
              <w:t>.</w:t>
            </w:r>
            <w:r w:rsidR="004C3618">
              <w:rPr>
                <w:rFonts w:ascii="Arial" w:hAnsi="Arial" w:cs="Arial"/>
                <w:b w:val="0"/>
                <w:sz w:val="20"/>
              </w:rPr>
              <w:t>9</w:t>
            </w:r>
            <w:r w:rsidR="00B068DD">
              <w:rPr>
                <w:rFonts w:ascii="Arial" w:hAnsi="Arial" w:cs="Arial"/>
                <w:b w:val="0"/>
                <w:sz w:val="20"/>
              </w:rPr>
              <w:t>68</w:t>
            </w:r>
            <w:r w:rsidR="0005231B" w:rsidRPr="00E02E7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D75E7" w:rsidRPr="00E02E7A">
              <w:rPr>
                <w:rFonts w:ascii="Arial" w:hAnsi="Arial" w:cs="Arial"/>
                <w:b w:val="0"/>
                <w:sz w:val="20"/>
              </w:rPr>
              <w:t xml:space="preserve">million, 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a </w:t>
            </w:r>
            <w:r w:rsidR="00B068DD">
              <w:rPr>
                <w:rFonts w:ascii="Arial" w:hAnsi="Arial" w:cs="Arial"/>
                <w:b w:val="0"/>
                <w:sz w:val="20"/>
              </w:rPr>
              <w:t>3.</w:t>
            </w:r>
            <w:r w:rsidR="00DC2E64">
              <w:rPr>
                <w:rFonts w:ascii="Arial" w:hAnsi="Arial" w:cs="Arial"/>
                <w:b w:val="0"/>
                <w:sz w:val="20"/>
              </w:rPr>
              <w:t>4</w:t>
            </w:r>
            <w:r w:rsidR="00A042AF">
              <w:rPr>
                <w:rFonts w:ascii="Arial" w:hAnsi="Arial" w:cs="Arial"/>
                <w:b w:val="0"/>
                <w:sz w:val="20"/>
              </w:rPr>
              <w:t>% rise on 2023 (</w:t>
            </w:r>
            <w:r w:rsidR="00B068DD">
              <w:rPr>
                <w:rFonts w:ascii="Arial" w:hAnsi="Arial" w:cs="Arial"/>
                <w:b w:val="0"/>
                <w:sz w:val="20"/>
              </w:rPr>
              <w:t>compared with 1.984mn said in April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) </w:t>
            </w:r>
          </w:p>
          <w:p w14:paraId="3CEDFDC7" w14:textId="1EDAE90E" w:rsidR="00A042AF" w:rsidRDefault="007B5381" w:rsidP="00710F99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A042AF">
              <w:rPr>
                <w:rFonts w:ascii="Arial" w:hAnsi="Arial" w:cs="Arial"/>
                <w:b w:val="0"/>
                <w:sz w:val="20"/>
              </w:rPr>
              <w:t xml:space="preserve">BEV </w:t>
            </w:r>
            <w:r w:rsidR="00C762CA" w:rsidRPr="00A042AF">
              <w:rPr>
                <w:rFonts w:ascii="Arial" w:hAnsi="Arial" w:cs="Arial"/>
                <w:b w:val="0"/>
                <w:sz w:val="20"/>
              </w:rPr>
              <w:t xml:space="preserve">market </w:t>
            </w:r>
            <w:r w:rsidR="005021CB" w:rsidRPr="00A042AF">
              <w:rPr>
                <w:rFonts w:ascii="Arial" w:hAnsi="Arial" w:cs="Arial"/>
                <w:b w:val="0"/>
                <w:sz w:val="20"/>
              </w:rPr>
              <w:t xml:space="preserve">is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expected </w:t>
            </w:r>
            <w:r w:rsidR="005021CB" w:rsidRPr="00A042AF">
              <w:rPr>
                <w:rFonts w:ascii="Arial" w:hAnsi="Arial" w:cs="Arial"/>
                <w:b w:val="0"/>
                <w:sz w:val="20"/>
              </w:rPr>
              <w:t xml:space="preserve">to rise </w:t>
            </w:r>
            <w:r w:rsidR="00B068DD">
              <w:rPr>
                <w:rFonts w:ascii="Arial" w:hAnsi="Arial" w:cs="Arial"/>
                <w:b w:val="0"/>
                <w:sz w:val="20"/>
              </w:rPr>
              <w:t>15.7</w:t>
            </w:r>
            <w:r w:rsidR="005021CB" w:rsidRPr="00A042AF">
              <w:rPr>
                <w:rFonts w:ascii="Arial" w:hAnsi="Arial" w:cs="Arial"/>
                <w:b w:val="0"/>
                <w:sz w:val="20"/>
              </w:rPr>
              <w:t xml:space="preserve">% and </w:t>
            </w:r>
            <w:r w:rsidR="00DC2E64">
              <w:rPr>
                <w:rFonts w:ascii="Arial" w:hAnsi="Arial" w:cs="Arial"/>
                <w:b w:val="0"/>
                <w:sz w:val="20"/>
              </w:rPr>
              <w:t>take</w:t>
            </w:r>
            <w:r w:rsidR="00A042AF" w:rsidRPr="00A042AF">
              <w:rPr>
                <w:rFonts w:ascii="Arial" w:hAnsi="Arial" w:cs="Arial"/>
                <w:b w:val="0"/>
                <w:sz w:val="20"/>
              </w:rPr>
              <w:t xml:space="preserve"> a</w:t>
            </w:r>
            <w:r w:rsidR="00B068DD">
              <w:rPr>
                <w:rFonts w:ascii="Arial" w:hAnsi="Arial" w:cs="Arial"/>
                <w:b w:val="0"/>
                <w:sz w:val="20"/>
              </w:rPr>
              <w:t>n</w:t>
            </w:r>
            <w:r w:rsidR="00A042AF" w:rsidRPr="00A042A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C2E64">
              <w:rPr>
                <w:rFonts w:ascii="Arial" w:hAnsi="Arial" w:cs="Arial"/>
                <w:b w:val="0"/>
                <w:sz w:val="20"/>
              </w:rPr>
              <w:t>1</w:t>
            </w:r>
            <w:r w:rsidR="00B068DD">
              <w:rPr>
                <w:rFonts w:ascii="Arial" w:hAnsi="Arial" w:cs="Arial"/>
                <w:b w:val="0"/>
                <w:sz w:val="20"/>
              </w:rPr>
              <w:t>8.5</w:t>
            </w:r>
            <w:r w:rsidR="005021CB" w:rsidRPr="00A042AF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A042AF" w:rsidRPr="00A042AF">
              <w:rPr>
                <w:rFonts w:ascii="Arial" w:hAnsi="Arial" w:cs="Arial"/>
                <w:b w:val="0"/>
                <w:sz w:val="20"/>
              </w:rPr>
              <w:t xml:space="preserve">market </w:t>
            </w:r>
            <w:r w:rsidR="005021CB" w:rsidRPr="00A042AF">
              <w:rPr>
                <w:rFonts w:ascii="Arial" w:hAnsi="Arial" w:cs="Arial"/>
                <w:b w:val="0"/>
                <w:sz w:val="20"/>
              </w:rPr>
              <w:t>share (</w:t>
            </w:r>
            <w:r w:rsidR="00EF742E">
              <w:rPr>
                <w:rFonts w:ascii="Arial" w:hAnsi="Arial" w:cs="Arial"/>
                <w:b w:val="0"/>
                <w:sz w:val="20"/>
              </w:rPr>
              <w:t xml:space="preserve">vs </w:t>
            </w:r>
            <w:r w:rsidR="00B068DD">
              <w:rPr>
                <w:rFonts w:ascii="Arial" w:hAnsi="Arial" w:cs="Arial"/>
                <w:b w:val="0"/>
                <w:sz w:val="20"/>
              </w:rPr>
              <w:t>19.8% said in April</w:t>
            </w:r>
            <w:r w:rsidR="00A042AF" w:rsidRPr="00A042AF">
              <w:rPr>
                <w:rFonts w:ascii="Arial" w:hAnsi="Arial" w:cs="Arial"/>
                <w:b w:val="0"/>
                <w:sz w:val="20"/>
              </w:rPr>
              <w:t>)</w:t>
            </w:r>
          </w:p>
          <w:p w14:paraId="798E32DC" w14:textId="585E091E" w:rsidR="00A042AF" w:rsidRDefault="007B5381" w:rsidP="00710F99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A042AF">
              <w:rPr>
                <w:rFonts w:ascii="Arial" w:hAnsi="Arial" w:cs="Arial"/>
                <w:b w:val="0"/>
                <w:sz w:val="20"/>
              </w:rPr>
              <w:t xml:space="preserve">PHEV 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market </w:t>
            </w:r>
            <w:r w:rsidR="00B068DD">
              <w:rPr>
                <w:rFonts w:ascii="Arial" w:hAnsi="Arial" w:cs="Arial"/>
                <w:b w:val="0"/>
                <w:sz w:val="20"/>
              </w:rPr>
              <w:t>anticipated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 to rise </w:t>
            </w:r>
            <w:r w:rsidR="00B068DD">
              <w:rPr>
                <w:rFonts w:ascii="Arial" w:hAnsi="Arial" w:cs="Arial"/>
                <w:b w:val="0"/>
                <w:sz w:val="20"/>
              </w:rPr>
              <w:t>21.0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%, pushing market share to </w:t>
            </w:r>
            <w:r w:rsidR="00DC2E64">
              <w:rPr>
                <w:rFonts w:ascii="Arial" w:hAnsi="Arial" w:cs="Arial"/>
                <w:b w:val="0"/>
                <w:sz w:val="20"/>
              </w:rPr>
              <w:t>8.</w:t>
            </w:r>
            <w:r w:rsidR="00B068DD">
              <w:rPr>
                <w:rFonts w:ascii="Arial" w:hAnsi="Arial" w:cs="Arial"/>
                <w:b w:val="0"/>
                <w:sz w:val="20"/>
              </w:rPr>
              <w:t>7</w:t>
            </w:r>
            <w:r w:rsidR="00A042AF">
              <w:rPr>
                <w:rFonts w:ascii="Arial" w:hAnsi="Arial" w:cs="Arial"/>
                <w:b w:val="0"/>
                <w:sz w:val="20"/>
              </w:rPr>
              <w:t>%</w:t>
            </w:r>
          </w:p>
          <w:p w14:paraId="4C370E42" w14:textId="359A2947" w:rsidR="008431FA" w:rsidRPr="00A042AF" w:rsidRDefault="005021CB" w:rsidP="00710F99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A042AF">
              <w:rPr>
                <w:rFonts w:ascii="Arial" w:hAnsi="Arial" w:cs="Arial"/>
                <w:b w:val="0"/>
                <w:sz w:val="20"/>
              </w:rPr>
              <w:t xml:space="preserve">HEV share is </w:t>
            </w:r>
            <w:r w:rsidR="00B068DD">
              <w:rPr>
                <w:rFonts w:ascii="Arial" w:hAnsi="Arial" w:cs="Arial"/>
                <w:b w:val="0"/>
                <w:sz w:val="20"/>
              </w:rPr>
              <w:t>expect</w:t>
            </w:r>
            <w:r w:rsidR="00221322">
              <w:rPr>
                <w:rFonts w:ascii="Arial" w:hAnsi="Arial" w:cs="Arial"/>
                <w:b w:val="0"/>
                <w:sz w:val="20"/>
              </w:rPr>
              <w:t>ed</w:t>
            </w:r>
            <w:r w:rsidRPr="00A042AF">
              <w:rPr>
                <w:rFonts w:ascii="Arial" w:hAnsi="Arial" w:cs="Arial"/>
                <w:b w:val="0"/>
                <w:sz w:val="20"/>
              </w:rPr>
              <w:t xml:space="preserve"> to rise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to </w:t>
            </w:r>
            <w:r w:rsidR="00A042AF">
              <w:rPr>
                <w:rFonts w:ascii="Arial" w:hAnsi="Arial" w:cs="Arial"/>
                <w:b w:val="0"/>
                <w:sz w:val="20"/>
              </w:rPr>
              <w:t>1</w:t>
            </w:r>
            <w:r w:rsidR="00B068DD">
              <w:rPr>
                <w:rFonts w:ascii="Arial" w:hAnsi="Arial" w:cs="Arial"/>
                <w:b w:val="0"/>
                <w:sz w:val="20"/>
              </w:rPr>
              <w:t>3.8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%,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following </w:t>
            </w:r>
            <w:r w:rsidR="00DC2E64">
              <w:rPr>
                <w:rFonts w:ascii="Arial" w:hAnsi="Arial" w:cs="Arial"/>
                <w:b w:val="0"/>
                <w:sz w:val="20"/>
              </w:rPr>
              <w:t>a 1</w:t>
            </w:r>
            <w:r w:rsidR="00B068DD">
              <w:rPr>
                <w:rFonts w:ascii="Arial" w:hAnsi="Arial" w:cs="Arial"/>
                <w:b w:val="0"/>
                <w:sz w:val="20"/>
              </w:rPr>
              <w:t>3.</w:t>
            </w:r>
            <w:r w:rsidR="00DC2E64">
              <w:rPr>
                <w:rFonts w:ascii="Arial" w:hAnsi="Arial" w:cs="Arial"/>
                <w:b w:val="0"/>
                <w:sz w:val="20"/>
              </w:rPr>
              <w:t>6% r</w:t>
            </w:r>
            <w:r w:rsidR="00A042AF">
              <w:rPr>
                <w:rFonts w:ascii="Arial" w:hAnsi="Arial" w:cs="Arial"/>
                <w:b w:val="0"/>
                <w:sz w:val="20"/>
              </w:rPr>
              <w:t>ise in volumes</w:t>
            </w:r>
            <w:r w:rsidR="008431FA" w:rsidRPr="00A042AF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0E858581" w14:textId="488F226F" w:rsidR="00A110E2" w:rsidRDefault="00A110E2" w:rsidP="00A110E2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E02E7A">
              <w:rPr>
                <w:rFonts w:ascii="Arial" w:hAnsi="Arial" w:cs="Arial"/>
                <w:b w:val="0"/>
                <w:sz w:val="20"/>
              </w:rPr>
              <w:t xml:space="preserve">Diesel </w:t>
            </w:r>
            <w:r w:rsidR="001A7074">
              <w:rPr>
                <w:rFonts w:ascii="Arial" w:hAnsi="Arial" w:cs="Arial"/>
                <w:b w:val="0"/>
                <w:sz w:val="20"/>
              </w:rPr>
              <w:t xml:space="preserve">registrations </w:t>
            </w:r>
            <w:r w:rsidR="005021CB">
              <w:rPr>
                <w:rFonts w:ascii="Arial" w:hAnsi="Arial" w:cs="Arial"/>
                <w:b w:val="0"/>
                <w:sz w:val="20"/>
              </w:rPr>
              <w:t xml:space="preserve">are </w:t>
            </w:r>
            <w:r w:rsidR="00B068DD">
              <w:rPr>
                <w:rFonts w:ascii="Arial" w:hAnsi="Arial" w:cs="Arial"/>
                <w:b w:val="0"/>
                <w:sz w:val="20"/>
              </w:rPr>
              <w:t>anticipated</w:t>
            </w:r>
            <w:r w:rsidR="001A7074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DA4FF2">
              <w:rPr>
                <w:rFonts w:ascii="Arial" w:hAnsi="Arial" w:cs="Arial"/>
                <w:b w:val="0"/>
                <w:sz w:val="20"/>
              </w:rPr>
              <w:t>fall</w:t>
            </w:r>
            <w:r w:rsidR="001A707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66ADB">
              <w:rPr>
                <w:rFonts w:ascii="Arial" w:hAnsi="Arial" w:cs="Arial"/>
                <w:b w:val="0"/>
                <w:sz w:val="20"/>
              </w:rPr>
              <w:t>-</w:t>
            </w:r>
            <w:r w:rsidR="00C762CA">
              <w:rPr>
                <w:rFonts w:ascii="Arial" w:hAnsi="Arial" w:cs="Arial"/>
                <w:b w:val="0"/>
                <w:sz w:val="20"/>
              </w:rPr>
              <w:t>1</w:t>
            </w:r>
            <w:r w:rsidR="00B068DD">
              <w:rPr>
                <w:rFonts w:ascii="Arial" w:hAnsi="Arial" w:cs="Arial"/>
                <w:b w:val="0"/>
                <w:sz w:val="20"/>
              </w:rPr>
              <w:t>5.9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%,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pushing </w:t>
            </w:r>
            <w:r w:rsidR="00A042AF">
              <w:rPr>
                <w:rFonts w:ascii="Arial" w:hAnsi="Arial" w:cs="Arial"/>
                <w:b w:val="0"/>
                <w:sz w:val="20"/>
              </w:rPr>
              <w:t xml:space="preserve">market share </w:t>
            </w:r>
            <w:r w:rsidR="00DC2E64">
              <w:rPr>
                <w:rFonts w:ascii="Arial" w:hAnsi="Arial" w:cs="Arial"/>
                <w:b w:val="0"/>
                <w:sz w:val="20"/>
              </w:rPr>
              <w:t>down to 6.</w:t>
            </w:r>
            <w:r w:rsidR="00B068DD">
              <w:rPr>
                <w:rFonts w:ascii="Arial" w:hAnsi="Arial" w:cs="Arial"/>
                <w:b w:val="0"/>
                <w:sz w:val="20"/>
              </w:rPr>
              <w:t>1</w:t>
            </w:r>
            <w:r w:rsidR="00221322">
              <w:rPr>
                <w:rFonts w:ascii="Arial" w:hAnsi="Arial" w:cs="Arial"/>
                <w:b w:val="0"/>
                <w:sz w:val="20"/>
              </w:rPr>
              <w:t>%</w:t>
            </w:r>
          </w:p>
          <w:p w14:paraId="5E41AC3C" w14:textId="4E4AC2FB" w:rsidR="00DC2E64" w:rsidRPr="00E02E7A" w:rsidRDefault="00DC2E64" w:rsidP="00A110E2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Petrol registrations are </w:t>
            </w:r>
            <w:r w:rsidR="00A552AF">
              <w:rPr>
                <w:rFonts w:ascii="Arial" w:hAnsi="Arial" w:cs="Arial"/>
                <w:b w:val="0"/>
                <w:sz w:val="20"/>
              </w:rPr>
              <w:t xml:space="preserve">expected to </w:t>
            </w:r>
            <w:r w:rsidR="00B068DD">
              <w:rPr>
                <w:rFonts w:ascii="Arial" w:hAnsi="Arial" w:cs="Arial"/>
                <w:b w:val="0"/>
                <w:sz w:val="20"/>
              </w:rPr>
              <w:t>fall</w:t>
            </w:r>
            <w:r w:rsidR="00A552AF">
              <w:rPr>
                <w:rFonts w:ascii="Arial" w:hAnsi="Arial" w:cs="Arial"/>
                <w:b w:val="0"/>
                <w:sz w:val="20"/>
              </w:rPr>
              <w:t xml:space="preserve"> -</w:t>
            </w:r>
            <w:r w:rsidR="00B068DD">
              <w:rPr>
                <w:rFonts w:ascii="Arial" w:hAnsi="Arial" w:cs="Arial"/>
                <w:b w:val="0"/>
                <w:sz w:val="20"/>
              </w:rPr>
              <w:t>2.3</w:t>
            </w:r>
            <w:r w:rsidR="00A552AF">
              <w:rPr>
                <w:rFonts w:ascii="Arial" w:hAnsi="Arial" w:cs="Arial"/>
                <w:b w:val="0"/>
                <w:sz w:val="20"/>
              </w:rPr>
              <w:t>%, with market share falling to 5</w:t>
            </w:r>
            <w:r w:rsidR="00B068DD">
              <w:rPr>
                <w:rFonts w:ascii="Arial" w:hAnsi="Arial" w:cs="Arial"/>
                <w:b w:val="0"/>
                <w:sz w:val="20"/>
              </w:rPr>
              <w:t>2.9</w:t>
            </w:r>
            <w:r w:rsidR="00A552AF">
              <w:rPr>
                <w:rFonts w:ascii="Arial" w:hAnsi="Arial" w:cs="Arial"/>
                <w:b w:val="0"/>
                <w:sz w:val="20"/>
              </w:rPr>
              <w:t>%</w:t>
            </w:r>
          </w:p>
          <w:p w14:paraId="3F43BF29" w14:textId="1A5EDA5D" w:rsidR="00427000" w:rsidRDefault="00EF742E" w:rsidP="004A0153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New </w:t>
            </w:r>
            <w:r w:rsidR="007B5381" w:rsidRPr="00E02E7A">
              <w:rPr>
                <w:rFonts w:ascii="Arial" w:hAnsi="Arial" w:cs="Arial"/>
                <w:b w:val="0"/>
                <w:sz w:val="20"/>
              </w:rPr>
              <w:t xml:space="preserve">LCV </w:t>
            </w:r>
            <w:r>
              <w:rPr>
                <w:rFonts w:ascii="Arial" w:hAnsi="Arial" w:cs="Arial"/>
                <w:b w:val="0"/>
                <w:sz w:val="20"/>
              </w:rPr>
              <w:t xml:space="preserve">market </w:t>
            </w:r>
            <w:r w:rsidR="00DC2E64">
              <w:rPr>
                <w:rFonts w:ascii="Arial" w:hAnsi="Arial" w:cs="Arial"/>
                <w:b w:val="0"/>
                <w:sz w:val="20"/>
              </w:rPr>
              <w:t>outlook is 35</w:t>
            </w:r>
            <w:r w:rsidR="00B068DD">
              <w:rPr>
                <w:rFonts w:ascii="Arial" w:hAnsi="Arial" w:cs="Arial"/>
                <w:b w:val="0"/>
                <w:sz w:val="20"/>
              </w:rPr>
              <w:t>1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,000 units, a </w:t>
            </w:r>
            <w:r w:rsidR="00B068DD">
              <w:rPr>
                <w:rFonts w:ascii="Arial" w:hAnsi="Arial" w:cs="Arial"/>
                <w:b w:val="0"/>
                <w:sz w:val="20"/>
              </w:rPr>
              <w:t>2.8</w:t>
            </w:r>
            <w:r w:rsidR="00DC2E64">
              <w:rPr>
                <w:rFonts w:ascii="Arial" w:hAnsi="Arial" w:cs="Arial"/>
                <w:b w:val="0"/>
                <w:sz w:val="20"/>
              </w:rPr>
              <w:t>% rise on 2023 (</w:t>
            </w:r>
            <w:r w:rsidR="00B068DD">
              <w:rPr>
                <w:rFonts w:ascii="Arial" w:hAnsi="Arial" w:cs="Arial"/>
                <w:b w:val="0"/>
                <w:sz w:val="20"/>
              </w:rPr>
              <w:t>compared with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 3</w:t>
            </w:r>
            <w:r w:rsidR="00B068DD">
              <w:rPr>
                <w:rFonts w:ascii="Arial" w:hAnsi="Arial" w:cs="Arial"/>
                <w:b w:val="0"/>
                <w:sz w:val="20"/>
              </w:rPr>
              <w:t>53,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000 said in </w:t>
            </w:r>
            <w:r w:rsidR="00B068DD">
              <w:rPr>
                <w:rFonts w:ascii="Arial" w:hAnsi="Arial" w:cs="Arial"/>
                <w:b w:val="0"/>
                <w:sz w:val="20"/>
              </w:rPr>
              <w:t>April</w:t>
            </w:r>
            <w:r w:rsidR="00DC2E64">
              <w:rPr>
                <w:rFonts w:ascii="Arial" w:hAnsi="Arial" w:cs="Arial"/>
                <w:b w:val="0"/>
                <w:sz w:val="20"/>
              </w:rPr>
              <w:t>)</w:t>
            </w:r>
          </w:p>
          <w:p w14:paraId="1FD80EB5" w14:textId="12DFF6ED" w:rsidR="00A81421" w:rsidRPr="00907E1D" w:rsidRDefault="00453A3F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LCV BEV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volumes are expected to rise </w:t>
            </w:r>
            <w:r w:rsidR="00B068DD">
              <w:rPr>
                <w:rFonts w:ascii="Arial" w:hAnsi="Arial" w:cs="Arial"/>
                <w:b w:val="0"/>
                <w:sz w:val="20"/>
              </w:rPr>
              <w:t>13.7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% this year and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increase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share to </w:t>
            </w:r>
            <w:r w:rsidR="00B068DD">
              <w:rPr>
                <w:rFonts w:ascii="Arial" w:hAnsi="Arial" w:cs="Arial"/>
                <w:b w:val="0"/>
                <w:sz w:val="20"/>
              </w:rPr>
              <w:t>6.6</w:t>
            </w:r>
            <w:r w:rsidR="00DC2E64">
              <w:rPr>
                <w:rFonts w:ascii="Arial" w:hAnsi="Arial" w:cs="Arial"/>
                <w:b w:val="0"/>
                <w:sz w:val="20"/>
              </w:rPr>
              <w:t>% (</w:t>
            </w:r>
            <w:r w:rsidR="00B068DD">
              <w:rPr>
                <w:rFonts w:ascii="Arial" w:hAnsi="Arial" w:cs="Arial"/>
                <w:b w:val="0"/>
                <w:sz w:val="20"/>
              </w:rPr>
              <w:t>vs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068DD">
              <w:rPr>
                <w:rFonts w:ascii="Arial" w:hAnsi="Arial" w:cs="Arial"/>
                <w:b w:val="0"/>
                <w:sz w:val="20"/>
              </w:rPr>
              <w:t>8.3</w:t>
            </w:r>
            <w:r w:rsidR="00221322">
              <w:rPr>
                <w:rFonts w:ascii="Arial" w:hAnsi="Arial" w:cs="Arial"/>
                <w:b w:val="0"/>
                <w:sz w:val="20"/>
              </w:rPr>
              <w:t>%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 in </w:t>
            </w:r>
            <w:r w:rsidR="00B068DD">
              <w:rPr>
                <w:rFonts w:ascii="Arial" w:hAnsi="Arial" w:cs="Arial"/>
                <w:b w:val="0"/>
                <w:sz w:val="20"/>
              </w:rPr>
              <w:t>April</w:t>
            </w:r>
            <w:r w:rsidR="00DC2E64">
              <w:rPr>
                <w:rFonts w:ascii="Arial" w:hAnsi="Arial" w:cs="Arial"/>
                <w:b w:val="0"/>
                <w:sz w:val="20"/>
              </w:rPr>
              <w:t>)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1CE3CD75" w14:textId="77777777" w:rsidR="00B030B2" w:rsidRPr="00907E1D" w:rsidRDefault="00B030B2" w:rsidP="00B030B2">
            <w:pPr>
              <w:pStyle w:val="Title"/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3A18CA26" w14:textId="14766E39" w:rsidR="00B030B2" w:rsidRPr="00E02E7A" w:rsidRDefault="00B030B2" w:rsidP="00B030B2">
            <w:pPr>
              <w:pStyle w:val="Title"/>
              <w:spacing w:line="276" w:lineRule="auto"/>
              <w:rPr>
                <w:rFonts w:ascii="Arial" w:hAnsi="Arial" w:cs="Arial"/>
                <w:sz w:val="20"/>
              </w:rPr>
            </w:pPr>
            <w:r w:rsidRPr="00E02E7A">
              <w:rPr>
                <w:rFonts w:ascii="Arial" w:hAnsi="Arial" w:cs="Arial"/>
                <w:sz w:val="20"/>
              </w:rPr>
              <w:t>202</w:t>
            </w:r>
            <w:r w:rsidR="00907E1D">
              <w:rPr>
                <w:rFonts w:ascii="Arial" w:hAnsi="Arial" w:cs="Arial"/>
                <w:sz w:val="20"/>
              </w:rPr>
              <w:t>5</w:t>
            </w:r>
          </w:p>
          <w:p w14:paraId="2026D759" w14:textId="6CC3B20D" w:rsidR="00907E1D" w:rsidRPr="00907E1D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02E7A">
              <w:rPr>
                <w:rFonts w:ascii="Arial" w:hAnsi="Arial" w:cs="Arial"/>
                <w:b w:val="0"/>
                <w:sz w:val="20"/>
              </w:rPr>
              <w:t xml:space="preserve">Car registrations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expected to surpass </w:t>
            </w:r>
            <w:r w:rsidR="005A2268">
              <w:rPr>
                <w:rFonts w:ascii="Arial" w:hAnsi="Arial" w:cs="Arial"/>
                <w:b w:val="0"/>
                <w:sz w:val="20"/>
              </w:rPr>
              <w:t>two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 million units for first time since 2019, up 3.</w:t>
            </w:r>
            <w:r w:rsidR="00DC2E64">
              <w:rPr>
                <w:rFonts w:ascii="Arial" w:hAnsi="Arial" w:cs="Arial"/>
                <w:b w:val="0"/>
                <w:sz w:val="20"/>
              </w:rPr>
              <w:t>1</w:t>
            </w:r>
            <w:r w:rsidR="00221322">
              <w:rPr>
                <w:rFonts w:ascii="Arial" w:hAnsi="Arial" w:cs="Arial"/>
                <w:b w:val="0"/>
                <w:sz w:val="20"/>
              </w:rPr>
              <w:t>% to 2.0</w:t>
            </w:r>
            <w:r w:rsidR="00B068DD">
              <w:rPr>
                <w:rFonts w:ascii="Arial" w:hAnsi="Arial" w:cs="Arial"/>
                <w:b w:val="0"/>
                <w:sz w:val="20"/>
              </w:rPr>
              <w:t>29</w:t>
            </w:r>
            <w:r>
              <w:rPr>
                <w:rFonts w:ascii="Arial" w:hAnsi="Arial" w:cs="Arial"/>
                <w:b w:val="0"/>
                <w:sz w:val="20"/>
              </w:rPr>
              <w:t xml:space="preserve"> million</w:t>
            </w:r>
          </w:p>
          <w:p w14:paraId="0AC823D9" w14:textId="417E7F54" w:rsidR="00907E1D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E02E7A">
              <w:rPr>
                <w:rFonts w:ascii="Arial" w:hAnsi="Arial" w:cs="Arial"/>
                <w:b w:val="0"/>
                <w:sz w:val="20"/>
              </w:rPr>
              <w:t xml:space="preserve">BEV </w:t>
            </w:r>
            <w:r>
              <w:rPr>
                <w:rFonts w:ascii="Arial" w:hAnsi="Arial" w:cs="Arial"/>
                <w:b w:val="0"/>
                <w:sz w:val="20"/>
              </w:rPr>
              <w:t xml:space="preserve">market share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anticipated to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rise to </w:t>
            </w:r>
            <w:r w:rsidR="00B068DD">
              <w:rPr>
                <w:rFonts w:ascii="Arial" w:hAnsi="Arial" w:cs="Arial"/>
                <w:b w:val="0"/>
                <w:sz w:val="20"/>
              </w:rPr>
              <w:t>23.7</w:t>
            </w:r>
            <w:r w:rsidR="00221322">
              <w:rPr>
                <w:rFonts w:ascii="Arial" w:hAnsi="Arial" w:cs="Arial"/>
                <w:b w:val="0"/>
                <w:sz w:val="20"/>
              </w:rPr>
              <w:t>%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 (vs 2</w:t>
            </w:r>
            <w:r w:rsidR="00B068DD">
              <w:rPr>
                <w:rFonts w:ascii="Arial" w:hAnsi="Arial" w:cs="Arial"/>
                <w:b w:val="0"/>
                <w:sz w:val="20"/>
              </w:rPr>
              <w:t>5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said 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in </w:t>
            </w:r>
            <w:r w:rsidR="00B068DD">
              <w:rPr>
                <w:rFonts w:ascii="Arial" w:hAnsi="Arial" w:cs="Arial"/>
                <w:b w:val="0"/>
                <w:sz w:val="20"/>
              </w:rPr>
              <w:t>April</w:t>
            </w:r>
            <w:r w:rsidR="00DC2E64">
              <w:rPr>
                <w:rFonts w:ascii="Arial" w:hAnsi="Arial" w:cs="Arial"/>
                <w:b w:val="0"/>
                <w:sz w:val="20"/>
              </w:rPr>
              <w:t>), with volumes up 3</w:t>
            </w:r>
            <w:r w:rsidR="00B068DD">
              <w:rPr>
                <w:rFonts w:ascii="Arial" w:hAnsi="Arial" w:cs="Arial"/>
                <w:b w:val="0"/>
                <w:sz w:val="20"/>
              </w:rPr>
              <w:t>1.9</w:t>
            </w:r>
            <w:r w:rsidR="00DC2E64">
              <w:rPr>
                <w:rFonts w:ascii="Arial" w:hAnsi="Arial" w:cs="Arial"/>
                <w:b w:val="0"/>
                <w:sz w:val="20"/>
              </w:rPr>
              <w:t>%</w:t>
            </w:r>
          </w:p>
          <w:p w14:paraId="279096FD" w14:textId="279D685E" w:rsidR="00221322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021CB">
              <w:rPr>
                <w:rFonts w:ascii="Arial" w:hAnsi="Arial" w:cs="Arial"/>
                <w:b w:val="0"/>
                <w:sz w:val="20"/>
              </w:rPr>
              <w:t xml:space="preserve">PHEV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market is anticipated to rise </w:t>
            </w:r>
            <w:r w:rsidR="00B068DD">
              <w:rPr>
                <w:rFonts w:ascii="Arial" w:hAnsi="Arial" w:cs="Arial"/>
                <w:b w:val="0"/>
                <w:sz w:val="20"/>
              </w:rPr>
              <w:t>21.0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% on the 2024 outlook, </w:t>
            </w:r>
            <w:r w:rsidR="00B068DD">
              <w:rPr>
                <w:rFonts w:ascii="Arial" w:hAnsi="Arial" w:cs="Arial"/>
                <w:b w:val="0"/>
                <w:sz w:val="20"/>
              </w:rPr>
              <w:t>increasing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 market share to 9.</w:t>
            </w:r>
            <w:r w:rsidR="00B068DD">
              <w:rPr>
                <w:rFonts w:ascii="Arial" w:hAnsi="Arial" w:cs="Arial"/>
                <w:b w:val="0"/>
                <w:sz w:val="20"/>
              </w:rPr>
              <w:t>5</w:t>
            </w:r>
            <w:r w:rsidR="00221322">
              <w:rPr>
                <w:rFonts w:ascii="Arial" w:hAnsi="Arial" w:cs="Arial"/>
                <w:b w:val="0"/>
                <w:sz w:val="20"/>
              </w:rPr>
              <w:t>%</w:t>
            </w:r>
          </w:p>
          <w:p w14:paraId="78211777" w14:textId="0F17A0C0" w:rsidR="00907E1D" w:rsidRPr="005021CB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021CB">
              <w:rPr>
                <w:rFonts w:ascii="Arial" w:hAnsi="Arial" w:cs="Arial"/>
                <w:b w:val="0"/>
                <w:sz w:val="20"/>
              </w:rPr>
              <w:t xml:space="preserve">HEV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market share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is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expected to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climb to </w:t>
            </w:r>
            <w:r w:rsidR="00221322">
              <w:rPr>
                <w:rFonts w:ascii="Arial" w:hAnsi="Arial" w:cs="Arial"/>
                <w:b w:val="0"/>
                <w:sz w:val="20"/>
              </w:rPr>
              <w:t>14.</w:t>
            </w:r>
            <w:r w:rsidR="00B068DD">
              <w:rPr>
                <w:rFonts w:ascii="Arial" w:hAnsi="Arial" w:cs="Arial"/>
                <w:b w:val="0"/>
                <w:sz w:val="20"/>
              </w:rPr>
              <w:t>6</w:t>
            </w:r>
            <w:r w:rsidR="00221322">
              <w:rPr>
                <w:rFonts w:ascii="Arial" w:hAnsi="Arial" w:cs="Arial"/>
                <w:b w:val="0"/>
                <w:sz w:val="20"/>
              </w:rPr>
              <w:t>%, after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 a 9.</w:t>
            </w:r>
            <w:r w:rsidR="00B068DD">
              <w:rPr>
                <w:rFonts w:ascii="Arial" w:hAnsi="Arial" w:cs="Arial"/>
                <w:b w:val="0"/>
                <w:sz w:val="20"/>
              </w:rPr>
              <w:t>1</w:t>
            </w:r>
            <w:r w:rsidR="00221322">
              <w:rPr>
                <w:rFonts w:ascii="Arial" w:hAnsi="Arial" w:cs="Arial"/>
                <w:b w:val="0"/>
                <w:sz w:val="20"/>
              </w:rPr>
              <w:t>% volume rise</w:t>
            </w:r>
            <w:r w:rsidRPr="005021CB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524F3354" w14:textId="2F9FDE07" w:rsidR="00907E1D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E02E7A">
              <w:rPr>
                <w:rFonts w:ascii="Arial" w:hAnsi="Arial" w:cs="Arial"/>
                <w:b w:val="0"/>
                <w:sz w:val="20"/>
              </w:rPr>
              <w:t xml:space="preserve">Diesel </w:t>
            </w:r>
            <w:r>
              <w:rPr>
                <w:rFonts w:ascii="Arial" w:hAnsi="Arial" w:cs="Arial"/>
                <w:b w:val="0"/>
                <w:sz w:val="20"/>
              </w:rPr>
              <w:t xml:space="preserve">market share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is anticipated to 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slip to </w:t>
            </w:r>
            <w:r w:rsidR="00B068DD">
              <w:rPr>
                <w:rFonts w:ascii="Arial" w:hAnsi="Arial" w:cs="Arial"/>
                <w:b w:val="0"/>
                <w:sz w:val="20"/>
              </w:rPr>
              <w:t>4.8</w:t>
            </w:r>
            <w:r w:rsidR="00DC2E64">
              <w:rPr>
                <w:rFonts w:ascii="Arial" w:hAnsi="Arial" w:cs="Arial"/>
                <w:b w:val="0"/>
                <w:sz w:val="20"/>
              </w:rPr>
              <w:t>%, after a -1</w:t>
            </w:r>
            <w:r w:rsidR="00B068DD">
              <w:rPr>
                <w:rFonts w:ascii="Arial" w:hAnsi="Arial" w:cs="Arial"/>
                <w:b w:val="0"/>
                <w:sz w:val="20"/>
              </w:rPr>
              <w:t>9.0</w:t>
            </w:r>
            <w:r w:rsidR="00DC2E64">
              <w:rPr>
                <w:rFonts w:ascii="Arial" w:hAnsi="Arial" w:cs="Arial"/>
                <w:b w:val="0"/>
                <w:sz w:val="20"/>
              </w:rPr>
              <w:t>% drop in volumes</w:t>
            </w:r>
          </w:p>
          <w:p w14:paraId="040B690D" w14:textId="710C39E8" w:rsidR="00DC2E64" w:rsidRDefault="00A552AF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Petrol market to decline -</w:t>
            </w:r>
            <w:r w:rsidR="00B068DD">
              <w:rPr>
                <w:rFonts w:ascii="Arial" w:hAnsi="Arial" w:cs="Arial"/>
                <w:b w:val="0"/>
                <w:sz w:val="20"/>
              </w:rPr>
              <w:t>7.6</w:t>
            </w:r>
            <w:r>
              <w:rPr>
                <w:rFonts w:ascii="Arial" w:hAnsi="Arial" w:cs="Arial"/>
                <w:b w:val="0"/>
                <w:sz w:val="20"/>
              </w:rPr>
              <w:t>% and reduce market share to 4</w:t>
            </w:r>
            <w:r w:rsidR="00B068DD">
              <w:rPr>
                <w:rFonts w:ascii="Arial" w:hAnsi="Arial" w:cs="Arial"/>
                <w:b w:val="0"/>
                <w:sz w:val="20"/>
              </w:rPr>
              <w:t>7</w:t>
            </w:r>
            <w:r>
              <w:rPr>
                <w:rFonts w:ascii="Arial" w:hAnsi="Arial" w:cs="Arial"/>
                <w:b w:val="0"/>
                <w:sz w:val="20"/>
              </w:rPr>
              <w:t>.5%</w:t>
            </w:r>
          </w:p>
          <w:p w14:paraId="6F979EA8" w14:textId="2DBCADC5" w:rsidR="00907E1D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E02E7A">
              <w:rPr>
                <w:rFonts w:ascii="Arial" w:hAnsi="Arial" w:cs="Arial"/>
                <w:b w:val="0"/>
                <w:sz w:val="20"/>
              </w:rPr>
              <w:t xml:space="preserve">LCV </w:t>
            </w:r>
            <w:r>
              <w:rPr>
                <w:rFonts w:ascii="Arial" w:hAnsi="Arial" w:cs="Arial"/>
                <w:b w:val="0"/>
                <w:sz w:val="20"/>
              </w:rPr>
              <w:t xml:space="preserve">market outlook </w:t>
            </w:r>
            <w:r w:rsidR="00DC2E64">
              <w:rPr>
                <w:rFonts w:ascii="Arial" w:hAnsi="Arial" w:cs="Arial"/>
                <w:b w:val="0"/>
                <w:sz w:val="20"/>
              </w:rPr>
              <w:t>is 36</w:t>
            </w:r>
            <w:r w:rsidR="00B068DD">
              <w:rPr>
                <w:rFonts w:ascii="Arial" w:hAnsi="Arial" w:cs="Arial"/>
                <w:b w:val="0"/>
                <w:sz w:val="20"/>
              </w:rPr>
              <w:t>2</w:t>
            </w:r>
            <w:r w:rsidR="00DC2E64">
              <w:rPr>
                <w:rFonts w:ascii="Arial" w:hAnsi="Arial" w:cs="Arial"/>
                <w:b w:val="0"/>
                <w:sz w:val="20"/>
              </w:rPr>
              <w:t>,000 units, up 3.</w:t>
            </w:r>
            <w:r w:rsidR="00B068DD">
              <w:rPr>
                <w:rFonts w:ascii="Arial" w:hAnsi="Arial" w:cs="Arial"/>
                <w:b w:val="0"/>
                <w:sz w:val="20"/>
              </w:rPr>
              <w:t>2</w:t>
            </w:r>
            <w:r w:rsidR="00DC2E64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on our 2024 outlook </w:t>
            </w:r>
            <w:r w:rsidR="00DC2E64">
              <w:rPr>
                <w:rFonts w:ascii="Arial" w:hAnsi="Arial" w:cs="Arial"/>
                <w:b w:val="0"/>
                <w:sz w:val="20"/>
              </w:rPr>
              <w:t>(</w:t>
            </w:r>
            <w:r w:rsidR="00B068DD">
              <w:rPr>
                <w:rFonts w:ascii="Arial" w:hAnsi="Arial" w:cs="Arial"/>
                <w:b w:val="0"/>
                <w:sz w:val="20"/>
              </w:rPr>
              <w:t>we said 366,000 units in April</w:t>
            </w:r>
            <w:r w:rsidR="00DC2E64">
              <w:rPr>
                <w:rFonts w:ascii="Arial" w:hAnsi="Arial" w:cs="Arial"/>
                <w:b w:val="0"/>
                <w:sz w:val="20"/>
              </w:rPr>
              <w:t>)</w:t>
            </w:r>
          </w:p>
          <w:p w14:paraId="26AE7B2F" w14:textId="21009E3C" w:rsidR="00907E1D" w:rsidRPr="00907E1D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LCV BEV share is expected to reach 1</w:t>
            </w:r>
            <w:r w:rsidR="00B068DD">
              <w:rPr>
                <w:rFonts w:ascii="Arial" w:hAnsi="Arial" w:cs="Arial"/>
                <w:b w:val="0"/>
                <w:sz w:val="20"/>
              </w:rPr>
              <w:t>2.0</w:t>
            </w:r>
            <w:r w:rsidR="00221322">
              <w:rPr>
                <w:rFonts w:ascii="Arial" w:hAnsi="Arial" w:cs="Arial"/>
                <w:b w:val="0"/>
                <w:sz w:val="20"/>
              </w:rPr>
              <w:t>%</w:t>
            </w:r>
            <w:r w:rsidR="00B068DD">
              <w:rPr>
                <w:rFonts w:ascii="Arial" w:hAnsi="Arial" w:cs="Arial"/>
                <w:b w:val="0"/>
                <w:sz w:val="20"/>
              </w:rPr>
              <w:t xml:space="preserve"> (we said 13.4% in April)</w:t>
            </w:r>
            <w:r w:rsidR="00221322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B068DD">
              <w:rPr>
                <w:rFonts w:ascii="Arial" w:hAnsi="Arial" w:cs="Arial"/>
                <w:b w:val="0"/>
                <w:sz w:val="20"/>
              </w:rPr>
              <w:t>with volumes up 89.5%</w:t>
            </w:r>
          </w:p>
          <w:p w14:paraId="109AB14C" w14:textId="77777777" w:rsidR="00721905" w:rsidRPr="00131494" w:rsidRDefault="00721905" w:rsidP="00AF7823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i/>
                <w:sz w:val="8"/>
                <w:szCs w:val="8"/>
              </w:rPr>
            </w:pPr>
          </w:p>
          <w:p w14:paraId="745EB64F" w14:textId="56706344" w:rsidR="00567846" w:rsidRPr="001E647E" w:rsidRDefault="00427000" w:rsidP="00131494">
            <w:pPr>
              <w:pStyle w:val="Title"/>
              <w:spacing w:line="276" w:lineRule="auto"/>
              <w:jc w:val="lef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Notes: </w:t>
            </w:r>
            <w:r w:rsidR="00BB53F8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outlooks</w:t>
            </w: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rounded to nearest 1,000 unit</w:t>
            </w:r>
            <w:r w:rsidR="00BB53F8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s</w:t>
            </w:r>
            <w:r w:rsidR="00A81421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(% changes based on the exact outlook)</w:t>
            </w: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Reasonable care has been taken in preparing this information.  It is not an exclusive aid for market analysis</w:t>
            </w:r>
            <w:r w:rsidR="004C79C7"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.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4C79C7"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O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ther sources and market intelligence should be reviewed.</w:t>
            </w:r>
          </w:p>
        </w:tc>
      </w:tr>
    </w:tbl>
    <w:p w14:paraId="4770E669" w14:textId="77777777" w:rsidR="00427000" w:rsidRPr="00213FCC" w:rsidRDefault="00427000" w:rsidP="00BA41B2">
      <w:pPr>
        <w:rPr>
          <w:rFonts w:ascii="Arial" w:hAnsi="Arial" w:cs="Arial"/>
          <w:b/>
          <w:color w:val="0D2255"/>
          <w:sz w:val="6"/>
          <w:szCs w:val="6"/>
        </w:rPr>
      </w:pPr>
    </w:p>
    <w:p w14:paraId="5AFFAEA1" w14:textId="4F4A95E4" w:rsidR="00427000" w:rsidRPr="00B068DD" w:rsidRDefault="007A0010" w:rsidP="00BE5B7A">
      <w:pPr>
        <w:rPr>
          <w:rFonts w:ascii="Arial" w:hAnsi="Arial" w:cs="Arial"/>
          <w:sz w:val="20"/>
          <w:lang w:val="en-US"/>
        </w:rPr>
      </w:pPr>
      <w:r w:rsidRPr="007A4999">
        <w:rPr>
          <w:rFonts w:ascii="Arial" w:hAnsi="Arial" w:cs="Arial"/>
          <w:b/>
          <w:color w:val="0D2255"/>
          <w:sz w:val="20"/>
        </w:rPr>
        <w:t>Next</w:t>
      </w:r>
      <w:r w:rsidR="006E03C6" w:rsidRPr="007A4999">
        <w:rPr>
          <w:rFonts w:ascii="Arial" w:hAnsi="Arial" w:cs="Arial"/>
          <w:b/>
          <w:color w:val="0D2255"/>
          <w:sz w:val="20"/>
        </w:rPr>
        <w:t xml:space="preserve"> revision</w:t>
      </w:r>
      <w:r w:rsidR="000925EB" w:rsidRPr="007A4999">
        <w:rPr>
          <w:rFonts w:ascii="Arial" w:hAnsi="Arial" w:cs="Arial"/>
          <w:b/>
          <w:color w:val="0D2255"/>
          <w:sz w:val="20"/>
        </w:rPr>
        <w:t xml:space="preserve"> and contact</w:t>
      </w:r>
      <w:r w:rsidR="00BE5B7A">
        <w:rPr>
          <w:rFonts w:ascii="Arial" w:hAnsi="Arial" w:cs="Arial"/>
          <w:b/>
          <w:color w:val="0D2255"/>
          <w:sz w:val="20"/>
        </w:rPr>
        <w:t xml:space="preserve">: </w:t>
      </w:r>
      <w:r w:rsidR="006E03C6" w:rsidRPr="00B23C16">
        <w:rPr>
          <w:rFonts w:ascii="Arial" w:hAnsi="Arial" w:cs="Arial"/>
          <w:sz w:val="20"/>
        </w:rPr>
        <w:t xml:space="preserve">The </w:t>
      </w:r>
      <w:r w:rsidR="00372476" w:rsidRPr="00B23C16">
        <w:rPr>
          <w:rFonts w:ascii="Arial" w:hAnsi="Arial" w:cs="Arial"/>
          <w:sz w:val="20"/>
        </w:rPr>
        <w:t>outlook is</w:t>
      </w:r>
      <w:r w:rsidR="006E03C6" w:rsidRPr="00B23C16">
        <w:rPr>
          <w:rFonts w:ascii="Arial" w:hAnsi="Arial" w:cs="Arial"/>
          <w:sz w:val="20"/>
        </w:rPr>
        <w:t xml:space="preserve"> scheduled to be </w:t>
      </w:r>
      <w:r w:rsidR="007373AF" w:rsidRPr="00B23C16">
        <w:rPr>
          <w:rFonts w:ascii="Arial" w:hAnsi="Arial" w:cs="Arial"/>
          <w:sz w:val="20"/>
        </w:rPr>
        <w:t xml:space="preserve">next </w:t>
      </w:r>
      <w:r w:rsidR="006E03C6" w:rsidRPr="00B23C16">
        <w:rPr>
          <w:rFonts w:ascii="Arial" w:hAnsi="Arial" w:cs="Arial"/>
          <w:sz w:val="20"/>
        </w:rPr>
        <w:t xml:space="preserve">revised </w:t>
      </w:r>
      <w:r w:rsidR="00BF6713" w:rsidRPr="00B23C16">
        <w:rPr>
          <w:rFonts w:ascii="Arial" w:hAnsi="Arial" w:cs="Arial"/>
          <w:sz w:val="20"/>
        </w:rPr>
        <w:t>in</w:t>
      </w:r>
      <w:r w:rsidR="006E03C6" w:rsidRPr="00B23C16">
        <w:rPr>
          <w:rFonts w:ascii="Arial" w:hAnsi="Arial" w:cs="Arial"/>
          <w:sz w:val="20"/>
        </w:rPr>
        <w:t xml:space="preserve"> </w:t>
      </w:r>
      <w:r w:rsidR="00A87484">
        <w:rPr>
          <w:rFonts w:ascii="Arial" w:hAnsi="Arial" w:cs="Arial"/>
          <w:sz w:val="20"/>
        </w:rPr>
        <w:t>October</w:t>
      </w:r>
      <w:r w:rsidR="00DC2E64">
        <w:rPr>
          <w:rFonts w:ascii="Arial" w:hAnsi="Arial" w:cs="Arial"/>
          <w:sz w:val="20"/>
        </w:rPr>
        <w:t xml:space="preserve"> 2</w:t>
      </w:r>
      <w:r w:rsidR="00907E1D">
        <w:rPr>
          <w:rFonts w:ascii="Arial" w:hAnsi="Arial" w:cs="Arial"/>
          <w:sz w:val="20"/>
        </w:rPr>
        <w:t>024</w:t>
      </w:r>
      <w:r w:rsidR="00A81421">
        <w:rPr>
          <w:rFonts w:ascii="Arial" w:hAnsi="Arial" w:cs="Arial"/>
          <w:sz w:val="20"/>
        </w:rPr>
        <w:t xml:space="preserve"> </w:t>
      </w:r>
      <w:r w:rsidR="00216399" w:rsidRPr="00B23C16">
        <w:rPr>
          <w:rFonts w:ascii="Arial" w:hAnsi="Arial" w:cs="Arial"/>
          <w:sz w:val="20"/>
        </w:rPr>
        <w:t xml:space="preserve">and </w:t>
      </w:r>
      <w:r w:rsidR="00A81421">
        <w:rPr>
          <w:rFonts w:ascii="Arial" w:hAnsi="Arial" w:cs="Arial"/>
          <w:sz w:val="20"/>
        </w:rPr>
        <w:t xml:space="preserve">the </w:t>
      </w:r>
      <w:r w:rsidR="00216399" w:rsidRPr="00B23C16">
        <w:rPr>
          <w:rFonts w:ascii="Arial" w:hAnsi="Arial" w:cs="Arial"/>
          <w:sz w:val="20"/>
        </w:rPr>
        <w:t>result</w:t>
      </w:r>
      <w:r w:rsidR="00A81421">
        <w:rPr>
          <w:rFonts w:ascii="Arial" w:hAnsi="Arial" w:cs="Arial"/>
          <w:sz w:val="20"/>
        </w:rPr>
        <w:t>s</w:t>
      </w:r>
      <w:r w:rsidR="00216399" w:rsidRPr="00B23C16">
        <w:rPr>
          <w:rFonts w:ascii="Arial" w:hAnsi="Arial" w:cs="Arial"/>
          <w:sz w:val="20"/>
        </w:rPr>
        <w:t xml:space="preserve"> </w:t>
      </w:r>
      <w:r w:rsidR="004A2131" w:rsidRPr="00B23C16">
        <w:rPr>
          <w:rFonts w:ascii="Arial" w:hAnsi="Arial" w:cs="Arial"/>
          <w:sz w:val="20"/>
        </w:rPr>
        <w:t xml:space="preserve">will be posted </w:t>
      </w:r>
      <w:r w:rsidR="00216399" w:rsidRPr="00B23C16">
        <w:rPr>
          <w:rFonts w:ascii="Arial" w:hAnsi="Arial" w:cs="Arial"/>
          <w:sz w:val="20"/>
        </w:rPr>
        <w:t xml:space="preserve">by </w:t>
      </w:r>
      <w:r w:rsidR="00A87484">
        <w:rPr>
          <w:rFonts w:ascii="Arial" w:hAnsi="Arial" w:cs="Arial"/>
          <w:sz w:val="20"/>
        </w:rPr>
        <w:t>5 November</w:t>
      </w:r>
      <w:r w:rsidR="00216399" w:rsidRPr="00B23C16">
        <w:rPr>
          <w:rFonts w:ascii="Arial" w:hAnsi="Arial" w:cs="Arial"/>
          <w:sz w:val="20"/>
        </w:rPr>
        <w:t>.</w:t>
      </w:r>
      <w:r w:rsidR="00213FCC" w:rsidRPr="00B23C16">
        <w:rPr>
          <w:rFonts w:ascii="Arial" w:hAnsi="Arial" w:cs="Arial"/>
          <w:sz w:val="20"/>
        </w:rPr>
        <w:t xml:space="preserve"> </w:t>
      </w:r>
      <w:r w:rsidR="00253213" w:rsidRPr="00B23C16">
        <w:rPr>
          <w:rFonts w:ascii="Arial" w:hAnsi="Arial" w:cs="Arial"/>
          <w:sz w:val="20"/>
        </w:rPr>
        <w:t xml:space="preserve">The </w:t>
      </w:r>
      <w:r w:rsidR="00342FB4" w:rsidRPr="00B23C16">
        <w:rPr>
          <w:rFonts w:ascii="Arial" w:hAnsi="Arial" w:cs="Arial"/>
          <w:sz w:val="20"/>
        </w:rPr>
        <w:t xml:space="preserve">project </w:t>
      </w:r>
      <w:r w:rsidR="005C37CC" w:rsidRPr="00B23C16">
        <w:rPr>
          <w:rFonts w:ascii="Arial" w:hAnsi="Arial" w:cs="Arial"/>
          <w:sz w:val="20"/>
        </w:rPr>
        <w:t>work</w:t>
      </w:r>
      <w:r w:rsidR="00337618" w:rsidRPr="00B23C16">
        <w:rPr>
          <w:rFonts w:ascii="Arial" w:hAnsi="Arial" w:cs="Arial"/>
          <w:sz w:val="20"/>
        </w:rPr>
        <w:t xml:space="preserve"> is </w:t>
      </w:r>
      <w:r w:rsidR="002B7DBD" w:rsidRPr="00B23C16">
        <w:rPr>
          <w:rFonts w:ascii="Arial" w:hAnsi="Arial" w:cs="Arial"/>
          <w:sz w:val="20"/>
        </w:rPr>
        <w:t xml:space="preserve">managed </w:t>
      </w:r>
      <w:r w:rsidR="00253213" w:rsidRPr="00B23C16">
        <w:rPr>
          <w:rFonts w:ascii="Arial" w:hAnsi="Arial" w:cs="Arial"/>
          <w:sz w:val="20"/>
        </w:rPr>
        <w:t xml:space="preserve">by SMMT’s Economics </w:t>
      </w:r>
      <w:r w:rsidR="00427000" w:rsidRPr="00B23C16">
        <w:rPr>
          <w:rFonts w:ascii="Arial" w:hAnsi="Arial" w:cs="Arial"/>
          <w:sz w:val="20"/>
        </w:rPr>
        <w:t>team</w:t>
      </w:r>
      <w:r w:rsidR="00253213" w:rsidRPr="00B23C16">
        <w:rPr>
          <w:rFonts w:ascii="Arial" w:hAnsi="Arial" w:cs="Arial"/>
          <w:sz w:val="20"/>
        </w:rPr>
        <w:t xml:space="preserve"> </w:t>
      </w:r>
      <w:hyperlink r:id="rId8" w:history="1">
        <w:r w:rsidR="00253213" w:rsidRPr="00B23C16">
          <w:rPr>
            <w:rStyle w:val="Hyperlink"/>
            <w:rFonts w:ascii="Arial" w:hAnsi="Arial" w:cs="Arial"/>
            <w:sz w:val="20"/>
          </w:rPr>
          <w:t>econoweb@smmt.co.uk</w:t>
        </w:r>
      </w:hyperlink>
    </w:p>
    <w:sectPr w:rsidR="00427000" w:rsidRPr="00B068DD" w:rsidSect="0099618B">
      <w:headerReference w:type="first" r:id="rId9"/>
      <w:type w:val="continuous"/>
      <w:pgSz w:w="11906" w:h="16838" w:code="9"/>
      <w:pgMar w:top="737" w:right="737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073D" w14:textId="77777777" w:rsidR="00887168" w:rsidRDefault="00887168">
      <w:r>
        <w:separator/>
      </w:r>
    </w:p>
  </w:endnote>
  <w:endnote w:type="continuationSeparator" w:id="0">
    <w:p w14:paraId="0A535679" w14:textId="77777777" w:rsidR="00887168" w:rsidRDefault="0088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DB4D" w14:textId="77777777" w:rsidR="00887168" w:rsidRDefault="00887168">
      <w:r>
        <w:separator/>
      </w:r>
    </w:p>
  </w:footnote>
  <w:footnote w:type="continuationSeparator" w:id="0">
    <w:p w14:paraId="6230D08C" w14:textId="77777777" w:rsidR="00887168" w:rsidRDefault="0088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EFB8" w14:textId="77777777" w:rsidR="000752F6" w:rsidRPr="00BB71CE" w:rsidRDefault="000752F6" w:rsidP="00B40F45">
    <w:pPr>
      <w:pStyle w:val="Header"/>
      <w:tabs>
        <w:tab w:val="left" w:pos="240"/>
        <w:tab w:val="center" w:pos="4252"/>
      </w:tabs>
      <w:jc w:val="right"/>
      <w:rPr>
        <w:rFonts w:ascii="Arial" w:hAnsi="Arial" w:cs="Arial"/>
        <w:sz w:val="18"/>
        <w:szCs w:val="18"/>
      </w:rPr>
    </w:pPr>
    <w:r w:rsidRPr="00880E69">
      <w:rPr>
        <w:rFonts w:ascii="Arial" w:hAnsi="Arial" w:cs="Arial"/>
        <w:noProof/>
        <w:sz w:val="18"/>
        <w:szCs w:val="18"/>
      </w:rPr>
      <w:drawing>
        <wp:inline distT="0" distB="0" distL="0" distR="0" wp14:anchorId="60725C83" wp14:editId="1E53F1EC">
          <wp:extent cx="2356318" cy="9048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MT_Master_Brandline_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318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AEF"/>
    <w:multiLevelType w:val="hybridMultilevel"/>
    <w:tmpl w:val="DC6840B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2674FDA"/>
    <w:multiLevelType w:val="hybridMultilevel"/>
    <w:tmpl w:val="BAC8058C"/>
    <w:lvl w:ilvl="0" w:tplc="7AE8717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6292"/>
    <w:multiLevelType w:val="hybridMultilevel"/>
    <w:tmpl w:val="2B24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7F78"/>
    <w:multiLevelType w:val="hybridMultilevel"/>
    <w:tmpl w:val="DAD22F5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A0CA6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52F7"/>
    <w:multiLevelType w:val="hybridMultilevel"/>
    <w:tmpl w:val="5B44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339C"/>
    <w:multiLevelType w:val="hybridMultilevel"/>
    <w:tmpl w:val="C6820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46106"/>
    <w:multiLevelType w:val="hybridMultilevel"/>
    <w:tmpl w:val="CAFC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1B23"/>
    <w:multiLevelType w:val="hybridMultilevel"/>
    <w:tmpl w:val="B65A42C0"/>
    <w:lvl w:ilvl="0" w:tplc="142A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81388"/>
    <w:multiLevelType w:val="hybridMultilevel"/>
    <w:tmpl w:val="1EB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2A8C"/>
    <w:multiLevelType w:val="hybridMultilevel"/>
    <w:tmpl w:val="BD9208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C5AA3"/>
    <w:multiLevelType w:val="hybridMultilevel"/>
    <w:tmpl w:val="D9B8E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4B43F29"/>
    <w:multiLevelType w:val="hybridMultilevel"/>
    <w:tmpl w:val="7E0A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C3BA4"/>
    <w:multiLevelType w:val="hybridMultilevel"/>
    <w:tmpl w:val="963C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056BB"/>
    <w:multiLevelType w:val="hybridMultilevel"/>
    <w:tmpl w:val="1BF87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0319B"/>
    <w:multiLevelType w:val="hybridMultilevel"/>
    <w:tmpl w:val="AE4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36E68"/>
    <w:multiLevelType w:val="hybridMultilevel"/>
    <w:tmpl w:val="B7E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C0673"/>
    <w:multiLevelType w:val="hybridMultilevel"/>
    <w:tmpl w:val="BE04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70375"/>
    <w:multiLevelType w:val="hybridMultilevel"/>
    <w:tmpl w:val="EC4EEF70"/>
    <w:lvl w:ilvl="0" w:tplc="23B8CB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80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 w15:restartNumberingAfterBreak="0">
    <w:nsid w:val="4FBB05E7"/>
    <w:multiLevelType w:val="hybridMultilevel"/>
    <w:tmpl w:val="CFF6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972BB"/>
    <w:multiLevelType w:val="hybridMultilevel"/>
    <w:tmpl w:val="9A82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C630C"/>
    <w:multiLevelType w:val="hybridMultilevel"/>
    <w:tmpl w:val="234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57C6C"/>
    <w:multiLevelType w:val="hybridMultilevel"/>
    <w:tmpl w:val="291E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D3D23"/>
    <w:multiLevelType w:val="hybridMultilevel"/>
    <w:tmpl w:val="4C8AE346"/>
    <w:lvl w:ilvl="0" w:tplc="8BDAB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5964298"/>
    <w:multiLevelType w:val="hybridMultilevel"/>
    <w:tmpl w:val="11BA5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36652"/>
    <w:multiLevelType w:val="hybridMultilevel"/>
    <w:tmpl w:val="39A0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1A39"/>
    <w:multiLevelType w:val="hybridMultilevel"/>
    <w:tmpl w:val="3F7AACD6"/>
    <w:lvl w:ilvl="0" w:tplc="503EDB14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C095D"/>
    <w:multiLevelType w:val="hybridMultilevel"/>
    <w:tmpl w:val="286AC028"/>
    <w:lvl w:ilvl="0" w:tplc="AC5A9A9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8BF"/>
    <w:multiLevelType w:val="hybridMultilevel"/>
    <w:tmpl w:val="2034D5AA"/>
    <w:lvl w:ilvl="0" w:tplc="A2A2CC2A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6866">
    <w:abstractNumId w:val="9"/>
  </w:num>
  <w:num w:numId="2" w16cid:durableId="1261062305">
    <w:abstractNumId w:val="11"/>
  </w:num>
  <w:num w:numId="3" w16cid:durableId="1451507407">
    <w:abstractNumId w:val="3"/>
  </w:num>
  <w:num w:numId="4" w16cid:durableId="1541283004">
    <w:abstractNumId w:val="26"/>
  </w:num>
  <w:num w:numId="5" w16cid:durableId="694499743">
    <w:abstractNumId w:val="6"/>
  </w:num>
  <w:num w:numId="6" w16cid:durableId="128593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338199">
    <w:abstractNumId w:val="21"/>
  </w:num>
  <w:num w:numId="8" w16cid:durableId="561064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94955">
    <w:abstractNumId w:val="20"/>
  </w:num>
  <w:num w:numId="10" w16cid:durableId="1098715934">
    <w:abstractNumId w:val="23"/>
  </w:num>
  <w:num w:numId="11" w16cid:durableId="1841846312">
    <w:abstractNumId w:val="14"/>
  </w:num>
  <w:num w:numId="12" w16cid:durableId="581110197">
    <w:abstractNumId w:val="13"/>
  </w:num>
  <w:num w:numId="13" w16cid:durableId="295571145">
    <w:abstractNumId w:val="7"/>
  </w:num>
  <w:num w:numId="14" w16cid:durableId="1519932577">
    <w:abstractNumId w:val="4"/>
  </w:num>
  <w:num w:numId="15" w16cid:durableId="567225162">
    <w:abstractNumId w:val="22"/>
  </w:num>
  <w:num w:numId="16" w16cid:durableId="632622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2627494">
    <w:abstractNumId w:val="8"/>
  </w:num>
  <w:num w:numId="18" w16cid:durableId="845903273">
    <w:abstractNumId w:val="5"/>
  </w:num>
  <w:num w:numId="19" w16cid:durableId="4536034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392687">
    <w:abstractNumId w:val="1"/>
  </w:num>
  <w:num w:numId="21" w16cid:durableId="509954629">
    <w:abstractNumId w:val="2"/>
  </w:num>
  <w:num w:numId="22" w16cid:durableId="36470747">
    <w:abstractNumId w:val="18"/>
  </w:num>
  <w:num w:numId="23" w16cid:durableId="116417684">
    <w:abstractNumId w:val="16"/>
  </w:num>
  <w:num w:numId="24" w16cid:durableId="1945067856">
    <w:abstractNumId w:val="19"/>
  </w:num>
  <w:num w:numId="25" w16cid:durableId="741827492">
    <w:abstractNumId w:val="24"/>
  </w:num>
  <w:num w:numId="26" w16cid:durableId="2022076209">
    <w:abstractNumId w:val="0"/>
  </w:num>
  <w:num w:numId="27" w16cid:durableId="2075927779">
    <w:abstractNumId w:val="12"/>
  </w:num>
  <w:num w:numId="28" w16cid:durableId="2057197550">
    <w:abstractNumId w:val="25"/>
  </w:num>
  <w:num w:numId="29" w16cid:durableId="19413351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6F"/>
    <w:rsid w:val="00001B7B"/>
    <w:rsid w:val="0000459A"/>
    <w:rsid w:val="000100CD"/>
    <w:rsid w:val="000108C4"/>
    <w:rsid w:val="00016417"/>
    <w:rsid w:val="00022C15"/>
    <w:rsid w:val="00023F7E"/>
    <w:rsid w:val="000265F7"/>
    <w:rsid w:val="00027F49"/>
    <w:rsid w:val="00031407"/>
    <w:rsid w:val="0004009B"/>
    <w:rsid w:val="00040324"/>
    <w:rsid w:val="00040EA1"/>
    <w:rsid w:val="00040FF0"/>
    <w:rsid w:val="00041572"/>
    <w:rsid w:val="0005231B"/>
    <w:rsid w:val="00054E9D"/>
    <w:rsid w:val="0005794C"/>
    <w:rsid w:val="0006135C"/>
    <w:rsid w:val="0006611E"/>
    <w:rsid w:val="000752F6"/>
    <w:rsid w:val="00081F15"/>
    <w:rsid w:val="00082158"/>
    <w:rsid w:val="000828E3"/>
    <w:rsid w:val="000925EB"/>
    <w:rsid w:val="000B048F"/>
    <w:rsid w:val="000B07C5"/>
    <w:rsid w:val="000C39D3"/>
    <w:rsid w:val="000D2AA3"/>
    <w:rsid w:val="000D344E"/>
    <w:rsid w:val="000D5B9E"/>
    <w:rsid w:val="000D6983"/>
    <w:rsid w:val="000E1054"/>
    <w:rsid w:val="000E28F6"/>
    <w:rsid w:val="000F4F71"/>
    <w:rsid w:val="000F6796"/>
    <w:rsid w:val="001117D2"/>
    <w:rsid w:val="00113FC9"/>
    <w:rsid w:val="0011498C"/>
    <w:rsid w:val="00116121"/>
    <w:rsid w:val="00116F57"/>
    <w:rsid w:val="00120E51"/>
    <w:rsid w:val="00122D20"/>
    <w:rsid w:val="001263B8"/>
    <w:rsid w:val="001300D7"/>
    <w:rsid w:val="00131494"/>
    <w:rsid w:val="00131D2C"/>
    <w:rsid w:val="00135198"/>
    <w:rsid w:val="00135D72"/>
    <w:rsid w:val="00137105"/>
    <w:rsid w:val="0013797B"/>
    <w:rsid w:val="00141896"/>
    <w:rsid w:val="00142DFC"/>
    <w:rsid w:val="00143C1D"/>
    <w:rsid w:val="00154A73"/>
    <w:rsid w:val="00167393"/>
    <w:rsid w:val="00172CA6"/>
    <w:rsid w:val="001751F5"/>
    <w:rsid w:val="00175778"/>
    <w:rsid w:val="00180913"/>
    <w:rsid w:val="001829F1"/>
    <w:rsid w:val="001848DB"/>
    <w:rsid w:val="00191F2F"/>
    <w:rsid w:val="00194C98"/>
    <w:rsid w:val="001A077A"/>
    <w:rsid w:val="001A7074"/>
    <w:rsid w:val="001B1488"/>
    <w:rsid w:val="001B176B"/>
    <w:rsid w:val="001B2117"/>
    <w:rsid w:val="001B3340"/>
    <w:rsid w:val="001C313B"/>
    <w:rsid w:val="001C37CD"/>
    <w:rsid w:val="001C70F6"/>
    <w:rsid w:val="001D3954"/>
    <w:rsid w:val="001D5908"/>
    <w:rsid w:val="001E0BFD"/>
    <w:rsid w:val="001E647E"/>
    <w:rsid w:val="001F5763"/>
    <w:rsid w:val="00200E27"/>
    <w:rsid w:val="002052F4"/>
    <w:rsid w:val="002138E1"/>
    <w:rsid w:val="00213FCC"/>
    <w:rsid w:val="00216399"/>
    <w:rsid w:val="00221322"/>
    <w:rsid w:val="00224F26"/>
    <w:rsid w:val="002252B9"/>
    <w:rsid w:val="002300B6"/>
    <w:rsid w:val="002327EF"/>
    <w:rsid w:val="00242AA7"/>
    <w:rsid w:val="00253213"/>
    <w:rsid w:val="00253BEB"/>
    <w:rsid w:val="002565E0"/>
    <w:rsid w:val="0026166C"/>
    <w:rsid w:val="00273151"/>
    <w:rsid w:val="00273194"/>
    <w:rsid w:val="00274A9B"/>
    <w:rsid w:val="00275554"/>
    <w:rsid w:val="00276A3C"/>
    <w:rsid w:val="002820E8"/>
    <w:rsid w:val="00287A32"/>
    <w:rsid w:val="00291051"/>
    <w:rsid w:val="00293281"/>
    <w:rsid w:val="0029646E"/>
    <w:rsid w:val="002971C1"/>
    <w:rsid w:val="00297E5B"/>
    <w:rsid w:val="002A1B18"/>
    <w:rsid w:val="002A2B39"/>
    <w:rsid w:val="002B05E2"/>
    <w:rsid w:val="002B1979"/>
    <w:rsid w:val="002B795A"/>
    <w:rsid w:val="002B7DBD"/>
    <w:rsid w:val="002C04B7"/>
    <w:rsid w:val="002C3529"/>
    <w:rsid w:val="002C4D20"/>
    <w:rsid w:val="002D09C9"/>
    <w:rsid w:val="002D0CAA"/>
    <w:rsid w:val="002D5E68"/>
    <w:rsid w:val="002E3255"/>
    <w:rsid w:val="002E4236"/>
    <w:rsid w:val="002E4596"/>
    <w:rsid w:val="002E6025"/>
    <w:rsid w:val="002E60F9"/>
    <w:rsid w:val="002F07D1"/>
    <w:rsid w:val="002F64C8"/>
    <w:rsid w:val="003013A9"/>
    <w:rsid w:val="00301F89"/>
    <w:rsid w:val="003117BF"/>
    <w:rsid w:val="00334A77"/>
    <w:rsid w:val="0033617B"/>
    <w:rsid w:val="00337618"/>
    <w:rsid w:val="00342FB4"/>
    <w:rsid w:val="0034363B"/>
    <w:rsid w:val="003444AD"/>
    <w:rsid w:val="00346381"/>
    <w:rsid w:val="00347688"/>
    <w:rsid w:val="003544AF"/>
    <w:rsid w:val="003645B3"/>
    <w:rsid w:val="00364E6F"/>
    <w:rsid w:val="0036511E"/>
    <w:rsid w:val="00372476"/>
    <w:rsid w:val="00372B32"/>
    <w:rsid w:val="003731FE"/>
    <w:rsid w:val="0038204D"/>
    <w:rsid w:val="00382F76"/>
    <w:rsid w:val="003836F4"/>
    <w:rsid w:val="0038418E"/>
    <w:rsid w:val="00384E27"/>
    <w:rsid w:val="00387578"/>
    <w:rsid w:val="0038786C"/>
    <w:rsid w:val="00387E51"/>
    <w:rsid w:val="003A2FEC"/>
    <w:rsid w:val="003A4C01"/>
    <w:rsid w:val="003A688E"/>
    <w:rsid w:val="003B1E1F"/>
    <w:rsid w:val="003C43FC"/>
    <w:rsid w:val="003C4E6C"/>
    <w:rsid w:val="003D171A"/>
    <w:rsid w:val="003D50CB"/>
    <w:rsid w:val="003E1E92"/>
    <w:rsid w:val="003E78B4"/>
    <w:rsid w:val="003F3D48"/>
    <w:rsid w:val="003F66F5"/>
    <w:rsid w:val="00404F0C"/>
    <w:rsid w:val="00404FDA"/>
    <w:rsid w:val="00411C8B"/>
    <w:rsid w:val="00413F0A"/>
    <w:rsid w:val="004151A4"/>
    <w:rsid w:val="00422F94"/>
    <w:rsid w:val="00422FCA"/>
    <w:rsid w:val="00423FB3"/>
    <w:rsid w:val="00426B68"/>
    <w:rsid w:val="00427000"/>
    <w:rsid w:val="004334AD"/>
    <w:rsid w:val="004342B2"/>
    <w:rsid w:val="0044656E"/>
    <w:rsid w:val="0045157A"/>
    <w:rsid w:val="004523D1"/>
    <w:rsid w:val="00453A3F"/>
    <w:rsid w:val="004620B3"/>
    <w:rsid w:val="0047019C"/>
    <w:rsid w:val="00471A2C"/>
    <w:rsid w:val="00471F7E"/>
    <w:rsid w:val="00484BD9"/>
    <w:rsid w:val="00486D13"/>
    <w:rsid w:val="0049221B"/>
    <w:rsid w:val="00492A71"/>
    <w:rsid w:val="004933D0"/>
    <w:rsid w:val="00495D1E"/>
    <w:rsid w:val="00496F18"/>
    <w:rsid w:val="004A0153"/>
    <w:rsid w:val="004A2131"/>
    <w:rsid w:val="004A214C"/>
    <w:rsid w:val="004A522B"/>
    <w:rsid w:val="004B00C3"/>
    <w:rsid w:val="004B4987"/>
    <w:rsid w:val="004B4C8A"/>
    <w:rsid w:val="004B67E4"/>
    <w:rsid w:val="004C113F"/>
    <w:rsid w:val="004C2828"/>
    <w:rsid w:val="004C3618"/>
    <w:rsid w:val="004C79C7"/>
    <w:rsid w:val="004D43C9"/>
    <w:rsid w:val="004D62DE"/>
    <w:rsid w:val="004E0E54"/>
    <w:rsid w:val="004E1F93"/>
    <w:rsid w:val="004F474C"/>
    <w:rsid w:val="005021CB"/>
    <w:rsid w:val="00513040"/>
    <w:rsid w:val="005135E1"/>
    <w:rsid w:val="005140AA"/>
    <w:rsid w:val="00514E24"/>
    <w:rsid w:val="005245FD"/>
    <w:rsid w:val="0054032B"/>
    <w:rsid w:val="00540633"/>
    <w:rsid w:val="00540DD4"/>
    <w:rsid w:val="00553ADB"/>
    <w:rsid w:val="00560F7F"/>
    <w:rsid w:val="00561335"/>
    <w:rsid w:val="00565FB7"/>
    <w:rsid w:val="00567846"/>
    <w:rsid w:val="00572F9B"/>
    <w:rsid w:val="0057674C"/>
    <w:rsid w:val="00587E90"/>
    <w:rsid w:val="005908CB"/>
    <w:rsid w:val="005A1BB8"/>
    <w:rsid w:val="005A2268"/>
    <w:rsid w:val="005A580E"/>
    <w:rsid w:val="005A643D"/>
    <w:rsid w:val="005B0EAF"/>
    <w:rsid w:val="005B1432"/>
    <w:rsid w:val="005B27A3"/>
    <w:rsid w:val="005B749C"/>
    <w:rsid w:val="005C37C3"/>
    <w:rsid w:val="005C37CC"/>
    <w:rsid w:val="005C53A9"/>
    <w:rsid w:val="005C699D"/>
    <w:rsid w:val="005C6C60"/>
    <w:rsid w:val="005D1BDC"/>
    <w:rsid w:val="005E41BD"/>
    <w:rsid w:val="005E6AE8"/>
    <w:rsid w:val="005F1590"/>
    <w:rsid w:val="005F1E82"/>
    <w:rsid w:val="005F4140"/>
    <w:rsid w:val="005F586D"/>
    <w:rsid w:val="0060251D"/>
    <w:rsid w:val="00610E69"/>
    <w:rsid w:val="00615720"/>
    <w:rsid w:val="00615975"/>
    <w:rsid w:val="00621A7C"/>
    <w:rsid w:val="0062281D"/>
    <w:rsid w:val="0062436F"/>
    <w:rsid w:val="00625FE0"/>
    <w:rsid w:val="00626566"/>
    <w:rsid w:val="00626587"/>
    <w:rsid w:val="00631289"/>
    <w:rsid w:val="006357BE"/>
    <w:rsid w:val="00644A24"/>
    <w:rsid w:val="006474BD"/>
    <w:rsid w:val="00652A6E"/>
    <w:rsid w:val="00656855"/>
    <w:rsid w:val="00666481"/>
    <w:rsid w:val="006679CE"/>
    <w:rsid w:val="00687C7A"/>
    <w:rsid w:val="00694F69"/>
    <w:rsid w:val="00696994"/>
    <w:rsid w:val="006B0A6E"/>
    <w:rsid w:val="006B2F15"/>
    <w:rsid w:val="006C70F9"/>
    <w:rsid w:val="006D2D93"/>
    <w:rsid w:val="006D3E98"/>
    <w:rsid w:val="006D672C"/>
    <w:rsid w:val="006D7345"/>
    <w:rsid w:val="006E03C6"/>
    <w:rsid w:val="006F56F5"/>
    <w:rsid w:val="00701F16"/>
    <w:rsid w:val="00705235"/>
    <w:rsid w:val="00707C87"/>
    <w:rsid w:val="00710765"/>
    <w:rsid w:val="007124D2"/>
    <w:rsid w:val="007164A3"/>
    <w:rsid w:val="00716E93"/>
    <w:rsid w:val="00720BFF"/>
    <w:rsid w:val="00721905"/>
    <w:rsid w:val="00722220"/>
    <w:rsid w:val="00723102"/>
    <w:rsid w:val="00723BE8"/>
    <w:rsid w:val="007253A2"/>
    <w:rsid w:val="007317E6"/>
    <w:rsid w:val="007373AF"/>
    <w:rsid w:val="00741B35"/>
    <w:rsid w:val="00743ADA"/>
    <w:rsid w:val="00747E66"/>
    <w:rsid w:val="00754D64"/>
    <w:rsid w:val="00756939"/>
    <w:rsid w:val="00757AA4"/>
    <w:rsid w:val="00760ECB"/>
    <w:rsid w:val="00761008"/>
    <w:rsid w:val="00764B3A"/>
    <w:rsid w:val="00772A7C"/>
    <w:rsid w:val="00780241"/>
    <w:rsid w:val="00781288"/>
    <w:rsid w:val="007818FB"/>
    <w:rsid w:val="00782F4D"/>
    <w:rsid w:val="0078694D"/>
    <w:rsid w:val="00790C35"/>
    <w:rsid w:val="00792361"/>
    <w:rsid w:val="0079469C"/>
    <w:rsid w:val="00795AE7"/>
    <w:rsid w:val="007A0010"/>
    <w:rsid w:val="007A0938"/>
    <w:rsid w:val="007A1C90"/>
    <w:rsid w:val="007A340D"/>
    <w:rsid w:val="007A4999"/>
    <w:rsid w:val="007A7C2B"/>
    <w:rsid w:val="007B0E6F"/>
    <w:rsid w:val="007B5381"/>
    <w:rsid w:val="007C2A7D"/>
    <w:rsid w:val="007C4A19"/>
    <w:rsid w:val="007D640A"/>
    <w:rsid w:val="007D7DBC"/>
    <w:rsid w:val="007E0891"/>
    <w:rsid w:val="007E1570"/>
    <w:rsid w:val="007E78EF"/>
    <w:rsid w:val="007F57AF"/>
    <w:rsid w:val="007F6734"/>
    <w:rsid w:val="007F7773"/>
    <w:rsid w:val="00800791"/>
    <w:rsid w:val="00800F29"/>
    <w:rsid w:val="00802A4A"/>
    <w:rsid w:val="00805EE1"/>
    <w:rsid w:val="008109B0"/>
    <w:rsid w:val="00810E7A"/>
    <w:rsid w:val="00811CDA"/>
    <w:rsid w:val="00820370"/>
    <w:rsid w:val="00820950"/>
    <w:rsid w:val="00830B76"/>
    <w:rsid w:val="00830CEE"/>
    <w:rsid w:val="00840449"/>
    <w:rsid w:val="008431FA"/>
    <w:rsid w:val="0084549D"/>
    <w:rsid w:val="008460FB"/>
    <w:rsid w:val="00852CF9"/>
    <w:rsid w:val="008645AE"/>
    <w:rsid w:val="0087052C"/>
    <w:rsid w:val="00872DD6"/>
    <w:rsid w:val="00875577"/>
    <w:rsid w:val="00880E69"/>
    <w:rsid w:val="00886635"/>
    <w:rsid w:val="00887168"/>
    <w:rsid w:val="00887349"/>
    <w:rsid w:val="00887D37"/>
    <w:rsid w:val="0089316E"/>
    <w:rsid w:val="008A1B44"/>
    <w:rsid w:val="008A206E"/>
    <w:rsid w:val="008A3829"/>
    <w:rsid w:val="008A4E52"/>
    <w:rsid w:val="008B1A7C"/>
    <w:rsid w:val="008C5E0D"/>
    <w:rsid w:val="008C5F84"/>
    <w:rsid w:val="008C63A0"/>
    <w:rsid w:val="008C670B"/>
    <w:rsid w:val="008D2010"/>
    <w:rsid w:val="008D3B57"/>
    <w:rsid w:val="008E12E7"/>
    <w:rsid w:val="008E27F8"/>
    <w:rsid w:val="008E778A"/>
    <w:rsid w:val="008F14F8"/>
    <w:rsid w:val="008F28E1"/>
    <w:rsid w:val="008F69CE"/>
    <w:rsid w:val="008F7D82"/>
    <w:rsid w:val="00900BA1"/>
    <w:rsid w:val="009054AD"/>
    <w:rsid w:val="00907E1D"/>
    <w:rsid w:val="00910889"/>
    <w:rsid w:val="00910969"/>
    <w:rsid w:val="00912C0F"/>
    <w:rsid w:val="00920555"/>
    <w:rsid w:val="00921D4E"/>
    <w:rsid w:val="00924829"/>
    <w:rsid w:val="00924F09"/>
    <w:rsid w:val="009269B4"/>
    <w:rsid w:val="00933D99"/>
    <w:rsid w:val="00936508"/>
    <w:rsid w:val="009374AB"/>
    <w:rsid w:val="0094426D"/>
    <w:rsid w:val="00947C47"/>
    <w:rsid w:val="009524F0"/>
    <w:rsid w:val="00953915"/>
    <w:rsid w:val="00956166"/>
    <w:rsid w:val="00956796"/>
    <w:rsid w:val="009575D8"/>
    <w:rsid w:val="00961FB5"/>
    <w:rsid w:val="00963946"/>
    <w:rsid w:val="0096536E"/>
    <w:rsid w:val="00967DAB"/>
    <w:rsid w:val="009730F8"/>
    <w:rsid w:val="00977E9A"/>
    <w:rsid w:val="00981C8D"/>
    <w:rsid w:val="00984766"/>
    <w:rsid w:val="00986AD2"/>
    <w:rsid w:val="0099066D"/>
    <w:rsid w:val="00992974"/>
    <w:rsid w:val="0099618B"/>
    <w:rsid w:val="009965D9"/>
    <w:rsid w:val="009A57DD"/>
    <w:rsid w:val="009A7CB2"/>
    <w:rsid w:val="009B7640"/>
    <w:rsid w:val="009D6A89"/>
    <w:rsid w:val="009E501F"/>
    <w:rsid w:val="009F25C6"/>
    <w:rsid w:val="00A01F4E"/>
    <w:rsid w:val="00A042AF"/>
    <w:rsid w:val="00A068C7"/>
    <w:rsid w:val="00A110E2"/>
    <w:rsid w:val="00A162EF"/>
    <w:rsid w:val="00A17444"/>
    <w:rsid w:val="00A31D2C"/>
    <w:rsid w:val="00A32271"/>
    <w:rsid w:val="00A32492"/>
    <w:rsid w:val="00A3462A"/>
    <w:rsid w:val="00A37476"/>
    <w:rsid w:val="00A41BCB"/>
    <w:rsid w:val="00A42171"/>
    <w:rsid w:val="00A47118"/>
    <w:rsid w:val="00A50502"/>
    <w:rsid w:val="00A54E0F"/>
    <w:rsid w:val="00A552AF"/>
    <w:rsid w:val="00A56FFF"/>
    <w:rsid w:val="00A60DF0"/>
    <w:rsid w:val="00A65706"/>
    <w:rsid w:val="00A659A9"/>
    <w:rsid w:val="00A66ADB"/>
    <w:rsid w:val="00A71B51"/>
    <w:rsid w:val="00A729D3"/>
    <w:rsid w:val="00A74CC3"/>
    <w:rsid w:val="00A7511A"/>
    <w:rsid w:val="00A81421"/>
    <w:rsid w:val="00A87484"/>
    <w:rsid w:val="00A90521"/>
    <w:rsid w:val="00A92800"/>
    <w:rsid w:val="00A945F0"/>
    <w:rsid w:val="00A96AA1"/>
    <w:rsid w:val="00A976F2"/>
    <w:rsid w:val="00AA562D"/>
    <w:rsid w:val="00AA578A"/>
    <w:rsid w:val="00AA680E"/>
    <w:rsid w:val="00AA6EFE"/>
    <w:rsid w:val="00AB0FD1"/>
    <w:rsid w:val="00AB1782"/>
    <w:rsid w:val="00AB205B"/>
    <w:rsid w:val="00AC2434"/>
    <w:rsid w:val="00AC3DAC"/>
    <w:rsid w:val="00AC796D"/>
    <w:rsid w:val="00AD0123"/>
    <w:rsid w:val="00AD2230"/>
    <w:rsid w:val="00AD75E7"/>
    <w:rsid w:val="00AE1A6C"/>
    <w:rsid w:val="00AF0153"/>
    <w:rsid w:val="00AF10EF"/>
    <w:rsid w:val="00AF4544"/>
    <w:rsid w:val="00AF7532"/>
    <w:rsid w:val="00AF7823"/>
    <w:rsid w:val="00AF7BA4"/>
    <w:rsid w:val="00B02DF9"/>
    <w:rsid w:val="00B030B2"/>
    <w:rsid w:val="00B051C7"/>
    <w:rsid w:val="00B068DD"/>
    <w:rsid w:val="00B1759E"/>
    <w:rsid w:val="00B22325"/>
    <w:rsid w:val="00B23C16"/>
    <w:rsid w:val="00B24805"/>
    <w:rsid w:val="00B26FBD"/>
    <w:rsid w:val="00B32130"/>
    <w:rsid w:val="00B339F5"/>
    <w:rsid w:val="00B33BE4"/>
    <w:rsid w:val="00B40F45"/>
    <w:rsid w:val="00B44252"/>
    <w:rsid w:val="00B45B81"/>
    <w:rsid w:val="00B462AF"/>
    <w:rsid w:val="00B55151"/>
    <w:rsid w:val="00B5665D"/>
    <w:rsid w:val="00B6415B"/>
    <w:rsid w:val="00B6597D"/>
    <w:rsid w:val="00B838CC"/>
    <w:rsid w:val="00B85A88"/>
    <w:rsid w:val="00B86F9A"/>
    <w:rsid w:val="00BA2DE1"/>
    <w:rsid w:val="00BA41B2"/>
    <w:rsid w:val="00BA662F"/>
    <w:rsid w:val="00BB4404"/>
    <w:rsid w:val="00BB4F66"/>
    <w:rsid w:val="00BB53F8"/>
    <w:rsid w:val="00BB71CE"/>
    <w:rsid w:val="00BC6499"/>
    <w:rsid w:val="00BC724C"/>
    <w:rsid w:val="00BD3D2E"/>
    <w:rsid w:val="00BE48DE"/>
    <w:rsid w:val="00BE55E0"/>
    <w:rsid w:val="00BE5B7A"/>
    <w:rsid w:val="00BF6713"/>
    <w:rsid w:val="00C0273D"/>
    <w:rsid w:val="00C049B5"/>
    <w:rsid w:val="00C04A39"/>
    <w:rsid w:val="00C04A3D"/>
    <w:rsid w:val="00C0657B"/>
    <w:rsid w:val="00C078F5"/>
    <w:rsid w:val="00C13951"/>
    <w:rsid w:val="00C164D5"/>
    <w:rsid w:val="00C1683A"/>
    <w:rsid w:val="00C17495"/>
    <w:rsid w:val="00C210F3"/>
    <w:rsid w:val="00C24D24"/>
    <w:rsid w:val="00C26252"/>
    <w:rsid w:val="00C31342"/>
    <w:rsid w:val="00C33CFF"/>
    <w:rsid w:val="00C35F1F"/>
    <w:rsid w:val="00C362E8"/>
    <w:rsid w:val="00C407D9"/>
    <w:rsid w:val="00C41423"/>
    <w:rsid w:val="00C50D57"/>
    <w:rsid w:val="00C5374B"/>
    <w:rsid w:val="00C573CF"/>
    <w:rsid w:val="00C61C1E"/>
    <w:rsid w:val="00C61EE1"/>
    <w:rsid w:val="00C70720"/>
    <w:rsid w:val="00C762CA"/>
    <w:rsid w:val="00C8158D"/>
    <w:rsid w:val="00C90CD6"/>
    <w:rsid w:val="00C93D2E"/>
    <w:rsid w:val="00C940E8"/>
    <w:rsid w:val="00CA1CDA"/>
    <w:rsid w:val="00CC056F"/>
    <w:rsid w:val="00CC221F"/>
    <w:rsid w:val="00CC3E33"/>
    <w:rsid w:val="00CC7011"/>
    <w:rsid w:val="00CD4664"/>
    <w:rsid w:val="00CD749B"/>
    <w:rsid w:val="00CE002B"/>
    <w:rsid w:val="00CE7A5D"/>
    <w:rsid w:val="00CF102C"/>
    <w:rsid w:val="00CF1675"/>
    <w:rsid w:val="00CF292E"/>
    <w:rsid w:val="00CF2D38"/>
    <w:rsid w:val="00CF3198"/>
    <w:rsid w:val="00CF6356"/>
    <w:rsid w:val="00CF7486"/>
    <w:rsid w:val="00CF76A0"/>
    <w:rsid w:val="00D00863"/>
    <w:rsid w:val="00D02564"/>
    <w:rsid w:val="00D04B3E"/>
    <w:rsid w:val="00D05FCB"/>
    <w:rsid w:val="00D07732"/>
    <w:rsid w:val="00D14731"/>
    <w:rsid w:val="00D200D7"/>
    <w:rsid w:val="00D20C40"/>
    <w:rsid w:val="00D2197D"/>
    <w:rsid w:val="00D21BB3"/>
    <w:rsid w:val="00D31103"/>
    <w:rsid w:val="00D31EDF"/>
    <w:rsid w:val="00D3483F"/>
    <w:rsid w:val="00D422BE"/>
    <w:rsid w:val="00D5374C"/>
    <w:rsid w:val="00D54D18"/>
    <w:rsid w:val="00D54DF2"/>
    <w:rsid w:val="00D55138"/>
    <w:rsid w:val="00D64609"/>
    <w:rsid w:val="00D65869"/>
    <w:rsid w:val="00D678A1"/>
    <w:rsid w:val="00D67B16"/>
    <w:rsid w:val="00D70937"/>
    <w:rsid w:val="00D7617E"/>
    <w:rsid w:val="00D770AF"/>
    <w:rsid w:val="00D82DFA"/>
    <w:rsid w:val="00D905AE"/>
    <w:rsid w:val="00D90E00"/>
    <w:rsid w:val="00D91E7F"/>
    <w:rsid w:val="00D936A9"/>
    <w:rsid w:val="00D96B5C"/>
    <w:rsid w:val="00DA4256"/>
    <w:rsid w:val="00DA447B"/>
    <w:rsid w:val="00DA4FF2"/>
    <w:rsid w:val="00DA62BD"/>
    <w:rsid w:val="00DB1B08"/>
    <w:rsid w:val="00DB40DC"/>
    <w:rsid w:val="00DB5226"/>
    <w:rsid w:val="00DB7FFA"/>
    <w:rsid w:val="00DC2E64"/>
    <w:rsid w:val="00DC31E4"/>
    <w:rsid w:val="00DC6E8D"/>
    <w:rsid w:val="00DC71BE"/>
    <w:rsid w:val="00DD11AA"/>
    <w:rsid w:val="00DD3F67"/>
    <w:rsid w:val="00DD5B18"/>
    <w:rsid w:val="00DD6BA2"/>
    <w:rsid w:val="00DD7CDF"/>
    <w:rsid w:val="00DE11A0"/>
    <w:rsid w:val="00DE2FB1"/>
    <w:rsid w:val="00DE30F0"/>
    <w:rsid w:val="00DE438E"/>
    <w:rsid w:val="00DE5526"/>
    <w:rsid w:val="00DF0B35"/>
    <w:rsid w:val="00DF1E62"/>
    <w:rsid w:val="00DF4108"/>
    <w:rsid w:val="00DF4842"/>
    <w:rsid w:val="00DF6847"/>
    <w:rsid w:val="00DF72BF"/>
    <w:rsid w:val="00E00AF3"/>
    <w:rsid w:val="00E0108E"/>
    <w:rsid w:val="00E02E7A"/>
    <w:rsid w:val="00E042BA"/>
    <w:rsid w:val="00E0430D"/>
    <w:rsid w:val="00E05C4D"/>
    <w:rsid w:val="00E1304A"/>
    <w:rsid w:val="00E13C6A"/>
    <w:rsid w:val="00E14B26"/>
    <w:rsid w:val="00E16C74"/>
    <w:rsid w:val="00E321B6"/>
    <w:rsid w:val="00E3411A"/>
    <w:rsid w:val="00E4062C"/>
    <w:rsid w:val="00E4271C"/>
    <w:rsid w:val="00E4490E"/>
    <w:rsid w:val="00E469E0"/>
    <w:rsid w:val="00E47E29"/>
    <w:rsid w:val="00E527A8"/>
    <w:rsid w:val="00E564A4"/>
    <w:rsid w:val="00E61B04"/>
    <w:rsid w:val="00E63B95"/>
    <w:rsid w:val="00E70B16"/>
    <w:rsid w:val="00E745D3"/>
    <w:rsid w:val="00E95406"/>
    <w:rsid w:val="00E96D32"/>
    <w:rsid w:val="00EA0637"/>
    <w:rsid w:val="00EA08CF"/>
    <w:rsid w:val="00EA1DD7"/>
    <w:rsid w:val="00EA30B3"/>
    <w:rsid w:val="00EA3FB5"/>
    <w:rsid w:val="00EA41FD"/>
    <w:rsid w:val="00EA6334"/>
    <w:rsid w:val="00EA6CC7"/>
    <w:rsid w:val="00EA76E6"/>
    <w:rsid w:val="00EB25A1"/>
    <w:rsid w:val="00EB7ACD"/>
    <w:rsid w:val="00EC3273"/>
    <w:rsid w:val="00ED5373"/>
    <w:rsid w:val="00ED5767"/>
    <w:rsid w:val="00ED7112"/>
    <w:rsid w:val="00EE11C1"/>
    <w:rsid w:val="00EE5634"/>
    <w:rsid w:val="00EF48B9"/>
    <w:rsid w:val="00EF742E"/>
    <w:rsid w:val="00F105ED"/>
    <w:rsid w:val="00F11758"/>
    <w:rsid w:val="00F20197"/>
    <w:rsid w:val="00F20A4B"/>
    <w:rsid w:val="00F23666"/>
    <w:rsid w:val="00F26EA9"/>
    <w:rsid w:val="00F36D5A"/>
    <w:rsid w:val="00F50E30"/>
    <w:rsid w:val="00F53BC2"/>
    <w:rsid w:val="00F564AC"/>
    <w:rsid w:val="00F57153"/>
    <w:rsid w:val="00F61000"/>
    <w:rsid w:val="00F62299"/>
    <w:rsid w:val="00F64977"/>
    <w:rsid w:val="00F701DA"/>
    <w:rsid w:val="00F703A3"/>
    <w:rsid w:val="00F70858"/>
    <w:rsid w:val="00F70EA9"/>
    <w:rsid w:val="00F71643"/>
    <w:rsid w:val="00F83AC0"/>
    <w:rsid w:val="00F85233"/>
    <w:rsid w:val="00F85768"/>
    <w:rsid w:val="00F8689B"/>
    <w:rsid w:val="00F912A7"/>
    <w:rsid w:val="00F920B1"/>
    <w:rsid w:val="00F9235F"/>
    <w:rsid w:val="00F939D8"/>
    <w:rsid w:val="00F94714"/>
    <w:rsid w:val="00FA32EE"/>
    <w:rsid w:val="00FA42E3"/>
    <w:rsid w:val="00FC5BFB"/>
    <w:rsid w:val="00FD51A9"/>
    <w:rsid w:val="00FE04F3"/>
    <w:rsid w:val="00FE1F17"/>
    <w:rsid w:val="00FE2A05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560EF"/>
  <w15:docId w15:val="{CD42BC7B-6C2E-471D-B254-3824DDA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A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2A71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EC3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32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5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88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29105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55E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55E0"/>
    <w:rPr>
      <w:sz w:val="24"/>
    </w:rPr>
  </w:style>
  <w:style w:type="paragraph" w:styleId="NormalWeb">
    <w:name w:val="Normal (Web)"/>
    <w:basedOn w:val="Normal"/>
    <w:rsid w:val="00977E9A"/>
    <w:pPr>
      <w:spacing w:before="100" w:beforeAutospacing="1" w:after="100" w:afterAutospacing="1"/>
    </w:pPr>
    <w:rPr>
      <w:szCs w:val="24"/>
      <w:lang w:val="en-AU" w:eastAsia="en-AU"/>
    </w:rPr>
  </w:style>
  <w:style w:type="paragraph" w:styleId="FootnoteText">
    <w:name w:val="footnote text"/>
    <w:basedOn w:val="Normal"/>
    <w:link w:val="FootnoteTextChar"/>
    <w:rsid w:val="007E08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0891"/>
  </w:style>
  <w:style w:type="character" w:styleId="FootnoteReference">
    <w:name w:val="footnote reference"/>
    <w:basedOn w:val="DefaultParagraphFont"/>
    <w:rsid w:val="007E0891"/>
    <w:rPr>
      <w:vertAlign w:val="superscript"/>
    </w:rPr>
  </w:style>
  <w:style w:type="character" w:styleId="CommentReference">
    <w:name w:val="annotation reference"/>
    <w:basedOn w:val="DefaultParagraphFont"/>
    <w:rsid w:val="004342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2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2B2"/>
  </w:style>
  <w:style w:type="paragraph" w:styleId="CommentSubject">
    <w:name w:val="annotation subject"/>
    <w:basedOn w:val="CommentText"/>
    <w:next w:val="CommentText"/>
    <w:link w:val="CommentSubjectChar"/>
    <w:rsid w:val="0043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2B2"/>
    <w:rPr>
      <w:b/>
      <w:bCs/>
    </w:rPr>
  </w:style>
  <w:style w:type="character" w:customStyle="1" w:styleId="TitleChar">
    <w:name w:val="Title Char"/>
    <w:basedOn w:val="DefaultParagraphFont"/>
    <w:link w:val="Title"/>
    <w:rsid w:val="001B2117"/>
    <w:rPr>
      <w:b/>
      <w:sz w:val="32"/>
    </w:rPr>
  </w:style>
  <w:style w:type="table" w:styleId="TableGrid">
    <w:name w:val="Table Grid"/>
    <w:basedOn w:val="TableNormal"/>
    <w:rsid w:val="003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79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web@smm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E41-80EB-485C-BC51-4FCECBAF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</vt:lpstr>
    </vt:vector>
  </TitlesOfParts>
  <Company>SMMT Ltd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subject/>
  <dc:creator>visscj</dc:creator>
  <cp:keywords/>
  <dc:description/>
  <cp:lastModifiedBy>Matthew Croucher</cp:lastModifiedBy>
  <cp:revision>2</cp:revision>
  <cp:lastPrinted>2024-07-31T10:02:00Z</cp:lastPrinted>
  <dcterms:created xsi:type="dcterms:W3CDTF">2024-08-02T14:50:00Z</dcterms:created>
  <dcterms:modified xsi:type="dcterms:W3CDTF">2024-08-02T14:50:00Z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a84058ee867c88d99806f6b46eab7ca17b7694ebdaea8ba621a472320dc3d4ca</vt:lpwstr>
  </property>
</Properties>
</file>